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E00B" w14:textId="6AD8F975" w:rsidR="008826B9" w:rsidRPr="00FD7DAC" w:rsidRDefault="00834292" w:rsidP="00657FD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D7DA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D05F32" w:rsidRPr="00FD7DAC">
        <w:rPr>
          <w:rFonts w:ascii="Times New Roman" w:hAnsi="Times New Roman" w:cs="Times New Roman"/>
          <w:color w:val="000000" w:themeColor="text1"/>
          <w:sz w:val="20"/>
          <w:szCs w:val="20"/>
        </w:rPr>
        <w:t>PPENDIX</w:t>
      </w:r>
      <w:r w:rsidRPr="00FD7D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  <w:r w:rsidR="00657FD3" w:rsidRPr="00FD7DAC">
        <w:rPr>
          <w:rFonts w:ascii="Times New Roman" w:hAnsi="Times New Roman" w:cs="Times New Roman"/>
          <w:color w:val="000000" w:themeColor="text1"/>
          <w:sz w:val="20"/>
          <w:szCs w:val="20"/>
        </w:rPr>
        <w:t>. INFORMATION ON RENARD 65 SAMPLES* USED FOR GEOCHEMICAL ANALYSES</w:t>
      </w:r>
    </w:p>
    <w:tbl>
      <w:tblPr>
        <w:tblW w:w="5000" w:type="pct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275"/>
        <w:gridCol w:w="1135"/>
        <w:gridCol w:w="1418"/>
        <w:gridCol w:w="1983"/>
        <w:gridCol w:w="7149"/>
      </w:tblGrid>
      <w:tr w:rsidR="00D34C64" w:rsidRPr="00FD7DAC" w14:paraId="61125E6E" w14:textId="77777777" w:rsidTr="00E52624">
        <w:trPr>
          <w:trHeight w:val="369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B9A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321C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Location</w:t>
            </w:r>
            <w:r w:rsidRPr="00FD7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ABC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sz w:val="20"/>
                <w:szCs w:val="20"/>
              </w:rPr>
              <w:t>Abbreviation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FA9E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Degree of reaction</w:t>
            </w:r>
          </w:p>
        </w:tc>
        <w:tc>
          <w:tcPr>
            <w:tcW w:w="2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3B56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Description </w:t>
            </w:r>
          </w:p>
        </w:tc>
      </w:tr>
      <w:tr w:rsidR="008826B9" w:rsidRPr="00FD7DAC" w14:paraId="3D2880C2" w14:textId="77777777" w:rsidTr="00D34C6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C79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Granitoid and gneiss xenoliths with variable degrees of reaction</w:t>
            </w:r>
          </w:p>
        </w:tc>
      </w:tr>
      <w:tr w:rsidR="00D34C64" w:rsidRPr="00FD7DAC" w14:paraId="15B6ABDC" w14:textId="77777777" w:rsidTr="00E52624">
        <w:trPr>
          <w:trHeight w:val="227"/>
        </w:trPr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E07229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30692B 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886703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R65-31,</w:t>
            </w:r>
          </w:p>
          <w:p w14:paraId="71E4A8F1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107.9 m 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3210FF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GRx2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2C2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A82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Slightly altered granitoid xenolith derived from the 72.6 m main intersection of the dominant pipe-fill KPK Kimb65a.</w:t>
            </w:r>
          </w:p>
        </w:tc>
      </w:tr>
      <w:tr w:rsidR="00D34C64" w:rsidRPr="00FD7DAC" w14:paraId="2451AA5B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1BEBC980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30678B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3F9DFE47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R65-34,</w:t>
            </w:r>
          </w:p>
          <w:p w14:paraId="2B30CE46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152.44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A661D2A" w14:textId="77777777" w:rsidR="008826B9" w:rsidRPr="00FD7DAC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GNx2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7D8C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A8E" w14:textId="77777777" w:rsidR="008826B9" w:rsidRPr="00FD7DAC" w:rsidRDefault="008826B9" w:rsidP="00D34C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Gneiss xenolith, derives from a 30.9 m intersection of </w:t>
            </w:r>
            <w:proofErr w:type="spellStart"/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HKt</w:t>
            </w:r>
            <w:proofErr w:type="spellEnd"/>
            <w:r w:rsidRPr="00FD7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Kimb65d. </w:t>
            </w:r>
          </w:p>
        </w:tc>
      </w:tr>
      <w:tr w:rsidR="00D34C64" w:rsidRPr="00AA631B" w14:paraId="1EE25768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6C0126C5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30677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033938E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R65-34,</w:t>
            </w:r>
          </w:p>
          <w:p w14:paraId="45478CAB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153.24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4EC44C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GRx3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64A8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DA685B" w14:textId="00EDEBBB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Granitoid xenolith, derives from within from a 30.9 m intersection of </w:t>
            </w:r>
            <w:proofErr w:type="spellStart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HKt</w:t>
            </w:r>
            <w:proofErr w:type="spellEnd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Kimb65d (part of the sample is shown in Fig. </w:t>
            </w:r>
            <w:r w:rsidR="005E412F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a).</w:t>
            </w:r>
          </w:p>
        </w:tc>
      </w:tr>
      <w:tr w:rsidR="00D34C64" w:rsidRPr="00AA631B" w14:paraId="5C75605F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6C3FFD48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30679B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6DE49E73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R65-34,</w:t>
            </w:r>
          </w:p>
          <w:p w14:paraId="769FA62C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99.26 m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5B6E4B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GNx3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3C6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3529E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Gneiss xenolith, derives from near the top of a 91.6 m intersection of typical Kimb65b HK containing ~15 vol. % altered xenoliths.</w:t>
            </w:r>
          </w:p>
        </w:tc>
      </w:tr>
      <w:tr w:rsidR="00D34C64" w:rsidRPr="00AA631B" w14:paraId="41801CF4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1DFF08B6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30681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5BFDECAE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 xml:space="preserve">R65-34, </w:t>
            </w:r>
          </w:p>
          <w:p w14:paraId="376DC2C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89.25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8D51D0A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GRx1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C7C193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Moderate to high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5A2666" w14:textId="1F6EB83F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Granitoid xenolith, represent well developed zonal alteration (cf. Fig. </w:t>
            </w:r>
            <w:r w:rsidR="003D09E4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from the HK of Kimb65b, discussed with petrographic samples.</w:t>
            </w:r>
          </w:p>
        </w:tc>
      </w:tr>
      <w:tr w:rsidR="00D34C64" w:rsidRPr="00AA631B" w14:paraId="449D38DE" w14:textId="77777777" w:rsidTr="00E52624">
        <w:trPr>
          <w:trHeight w:val="227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E386E4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30683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AD942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R65-34,</w:t>
            </w:r>
          </w:p>
          <w:p w14:paraId="5C2D7957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32.14 m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94D991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GNx1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7D26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ACDCBE" w14:textId="56592313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Gneiss xenolith, represent well developed zonal alteration (cf. Fig. </w:t>
            </w:r>
            <w:r w:rsidR="003D09E4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from the HK of Kimb65b, discussed with petrographic samples.</w:t>
            </w:r>
          </w:p>
        </w:tc>
      </w:tr>
      <w:tr w:rsidR="008826B9" w:rsidRPr="00AA631B" w14:paraId="0E95FA25" w14:textId="77777777" w:rsidTr="00D34C6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04D" w14:textId="64838C7F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In situ country rock granitoid and gneiss country rock unaffected by kimberlite emplacement (</w:t>
            </w:r>
            <w:r w:rsidR="00FD7DAC" w:rsidRPr="00AA631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i.e.,</w:t>
            </w:r>
            <w:r w:rsidRPr="00AA631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no fractures or brecciation)</w:t>
            </w:r>
          </w:p>
        </w:tc>
      </w:tr>
      <w:tr w:rsidR="00D34C64" w:rsidRPr="00AA631B" w14:paraId="65C8588D" w14:textId="77777777" w:rsidTr="00E52624">
        <w:trPr>
          <w:trHeight w:val="227"/>
        </w:trPr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AA0DB2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30699B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DC3E9A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R65-31,</w:t>
            </w:r>
          </w:p>
          <w:p w14:paraId="145A8B17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 m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6AF78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CRGR2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7EAF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Absent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F596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Granitoid from near the top of the drillhole within a 73.5 m intersection of in situ country rock adjacent to the pipe.</w:t>
            </w:r>
          </w:p>
        </w:tc>
      </w:tr>
      <w:tr w:rsidR="00D34C64" w:rsidRPr="00AA631B" w14:paraId="1DA5DF15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51FA09F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30699A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005E16EA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R65-31,</w:t>
            </w:r>
          </w:p>
          <w:p w14:paraId="34A1C6FB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D5B58F6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CRGN2</w:t>
            </w:r>
          </w:p>
        </w:tc>
        <w:tc>
          <w:tcPr>
            <w:tcW w:w="765" w:type="pct"/>
            <w:vMerge/>
            <w:shd w:val="clear" w:color="auto" w:fill="auto"/>
            <w:noWrap/>
            <w:vAlign w:val="center"/>
            <w:hideMark/>
          </w:tcPr>
          <w:p w14:paraId="7470AC0E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shd w:val="clear" w:color="auto" w:fill="auto"/>
            <w:noWrap/>
            <w:vAlign w:val="center"/>
            <w:hideMark/>
          </w:tcPr>
          <w:p w14:paraId="21859B5C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Gneiss from near the top of the drillhole within a 73.5 m intersection of in situ country rock adjacent to the pipe.</w:t>
            </w:r>
          </w:p>
        </w:tc>
      </w:tr>
      <w:tr w:rsidR="00D34C64" w:rsidRPr="00AA631B" w14:paraId="51C3A4F5" w14:textId="77777777" w:rsidTr="00E52624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7F6BE71E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37130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698E5678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R1-12,</w:t>
            </w:r>
          </w:p>
          <w:p w14:paraId="14981B14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517.08 m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A538DCE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CRGR1</w:t>
            </w:r>
          </w:p>
        </w:tc>
        <w:tc>
          <w:tcPr>
            <w:tcW w:w="765" w:type="pct"/>
            <w:vMerge/>
            <w:shd w:val="clear" w:color="auto" w:fill="auto"/>
            <w:vAlign w:val="center"/>
            <w:hideMark/>
          </w:tcPr>
          <w:p w14:paraId="6273F2DF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14:paraId="15394974" w14:textId="3377FBF4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From Renard 1 pipe ~250 m to the north of Renard65. Derives from a 1.4 m layer within a 21.5 m intersection at the end of hole comprising alternating layers of pink/white coarse grained granitoid and grey </w:t>
            </w:r>
            <w:r w:rsidR="00FD7DAC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fine-grained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gneiss. The sample has a very coarse grained pegmatitic texture and contains ~5 vol.% mafic minerals. The sample is located 78.6 m downhole below the main kimberlite pipe contact. The intervening intersection includes mixed </w:t>
            </w:r>
            <w:proofErr w:type="spellStart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CRB+minor</w:t>
            </w:r>
            <w:proofErr w:type="spellEnd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kimberlite and CCR +13 cm of HK. </w:t>
            </w:r>
          </w:p>
        </w:tc>
      </w:tr>
      <w:tr w:rsidR="00D34C64" w:rsidRPr="00AA631B" w14:paraId="7F25D5D4" w14:textId="77777777" w:rsidTr="00E52624">
        <w:trPr>
          <w:trHeight w:val="227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9C1F39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66ADD7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R1-12,</w:t>
            </w:r>
          </w:p>
          <w:p w14:paraId="5F27ECAB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161.03 m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AF349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CRGN1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325D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316FE" w14:textId="45CEB9A3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 Renard 1 pipe ~250 m to the north of Renard</w:t>
            </w:r>
            <w:r w:rsidR="00A63502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65. Derives from a 152.9 m intersection at the top of the hole comprising alternating granitoid and gneiss. The sample is located 145.6 m </w:t>
            </w:r>
            <w:proofErr w:type="spellStart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uphole</w:t>
            </w:r>
            <w:proofErr w:type="spellEnd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the main kimberlite pipe contact and is 2.8 m above the contact with CCR. The intervening </w:t>
            </w:r>
            <w:proofErr w:type="spellStart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drillcore</w:t>
            </w:r>
            <w:proofErr w:type="spellEnd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comprises CCR and CRB containing minor kimberlite.</w:t>
            </w:r>
          </w:p>
        </w:tc>
      </w:tr>
      <w:tr w:rsidR="008826B9" w:rsidRPr="00AA631B" w14:paraId="4A7B4779" w14:textId="77777777" w:rsidTr="00D34C6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1C3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>Host Hypabyssal Kimberlite</w:t>
            </w:r>
          </w:p>
        </w:tc>
      </w:tr>
      <w:tr w:rsidR="00D34C64" w:rsidRPr="00AA631B" w14:paraId="38B2300D" w14:textId="77777777" w:rsidTr="00E52624">
        <w:trPr>
          <w:trHeight w:val="227"/>
        </w:trPr>
        <w:tc>
          <w:tcPr>
            <w:tcW w:w="4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671BA6E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30681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40A072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 xml:space="preserve">R65-34, </w:t>
            </w:r>
          </w:p>
          <w:p w14:paraId="0FBFFF2A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89.25 m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3ACABFF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HKh-65b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14:paraId="224F4941" w14:textId="77777777" w:rsidR="008826B9" w:rsidRPr="00AA631B" w:rsidRDefault="008826B9" w:rsidP="00E5262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275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BA0081" w14:textId="6D45EBA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Kimb65b adjacent to GRx1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described in polished thin section as discussed with petrographic samples. The sample derives from the centre of a 91.5 m intersection of HK contain</w:t>
            </w:r>
            <w:r w:rsidR="00356EFE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up to 15% xenoliths.</w:t>
            </w:r>
          </w:p>
        </w:tc>
      </w:tr>
      <w:tr w:rsidR="00D34C64" w:rsidRPr="00AA631B" w14:paraId="56255A9A" w14:textId="77777777" w:rsidTr="00E52624">
        <w:trPr>
          <w:trHeight w:val="227"/>
        </w:trPr>
        <w:tc>
          <w:tcPr>
            <w:tcW w:w="492" w:type="pct"/>
            <w:vMerge/>
            <w:shd w:val="clear" w:color="auto" w:fill="auto"/>
            <w:noWrap/>
          </w:tcPr>
          <w:p w14:paraId="26EA3EB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  <w:noWrap/>
          </w:tcPr>
          <w:p w14:paraId="03758E3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4FDE68C4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HK-65b1</w:t>
            </w:r>
          </w:p>
        </w:tc>
        <w:tc>
          <w:tcPr>
            <w:tcW w:w="765" w:type="pct"/>
            <w:shd w:val="clear" w:color="auto" w:fill="auto"/>
          </w:tcPr>
          <w:p w14:paraId="2266004C" w14:textId="77777777" w:rsidR="008826B9" w:rsidRPr="00AA631B" w:rsidRDefault="008826B9" w:rsidP="00E5262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Low-Absent</w:t>
            </w:r>
          </w:p>
        </w:tc>
        <w:tc>
          <w:tcPr>
            <w:tcW w:w="2758" w:type="pct"/>
            <w:vMerge/>
            <w:shd w:val="clear" w:color="auto" w:fill="auto"/>
            <w:noWrap/>
            <w:vAlign w:val="center"/>
          </w:tcPr>
          <w:p w14:paraId="3E2615F6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C64" w:rsidRPr="00AA631B" w14:paraId="714F39CF" w14:textId="77777777" w:rsidTr="00E52624">
        <w:trPr>
          <w:trHeight w:val="227"/>
        </w:trPr>
        <w:tc>
          <w:tcPr>
            <w:tcW w:w="492" w:type="pct"/>
            <w:vMerge w:val="restart"/>
            <w:shd w:val="clear" w:color="auto" w:fill="auto"/>
            <w:noWrap/>
            <w:hideMark/>
          </w:tcPr>
          <w:p w14:paraId="7211B6C9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30683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2C9E2BFD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R65-34,</w:t>
            </w:r>
          </w:p>
          <w:p w14:paraId="4B0A6333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sz w:val="20"/>
                <w:szCs w:val="20"/>
              </w:rPr>
              <w:t>32.14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88C70A5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HKh-65b </w:t>
            </w:r>
          </w:p>
        </w:tc>
        <w:tc>
          <w:tcPr>
            <w:tcW w:w="765" w:type="pct"/>
            <w:shd w:val="clear" w:color="auto" w:fill="auto"/>
            <w:hideMark/>
          </w:tcPr>
          <w:p w14:paraId="6ECA50F7" w14:textId="77777777" w:rsidR="008826B9" w:rsidRPr="00AA631B" w:rsidRDefault="008826B9" w:rsidP="00E5262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Moderate</w:t>
            </w:r>
            <w:r w:rsidRPr="00AA631B" w:rsidDel="001129D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8" w:type="pct"/>
            <w:vMerge w:val="restart"/>
            <w:shd w:val="clear" w:color="auto" w:fill="auto"/>
            <w:noWrap/>
            <w:vAlign w:val="center"/>
            <w:hideMark/>
          </w:tcPr>
          <w:p w14:paraId="62910A91" w14:textId="5B0D9BEE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Kimb65b adjacent to GNx1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described in polished thin section as discussed with petrographic samples. The sample derives from near the bottom of a 28 m intersection of HK contain</w:t>
            </w:r>
            <w:r w:rsidR="00356EFE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15-20% xenoliths</w:t>
            </w:r>
          </w:p>
        </w:tc>
      </w:tr>
      <w:tr w:rsidR="00D34C64" w:rsidRPr="00AA631B" w14:paraId="2CCE249A" w14:textId="77777777" w:rsidTr="00E52624">
        <w:trPr>
          <w:trHeight w:val="227"/>
        </w:trPr>
        <w:tc>
          <w:tcPr>
            <w:tcW w:w="492" w:type="pct"/>
            <w:vMerge/>
            <w:shd w:val="clear" w:color="auto" w:fill="auto"/>
            <w:noWrap/>
            <w:hideMark/>
          </w:tcPr>
          <w:p w14:paraId="0769B1F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shd w:val="clear" w:color="auto" w:fill="auto"/>
            <w:noWrap/>
            <w:hideMark/>
          </w:tcPr>
          <w:p w14:paraId="7CDC01DA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14:paraId="1F3FF4D8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HK-65b1 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14:paraId="73A0C4A1" w14:textId="77777777" w:rsidR="008826B9" w:rsidRPr="00AA631B" w:rsidRDefault="008826B9" w:rsidP="00E526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Low-Absent</w:t>
            </w:r>
          </w:p>
        </w:tc>
        <w:tc>
          <w:tcPr>
            <w:tcW w:w="2758" w:type="pct"/>
            <w:vMerge/>
            <w:shd w:val="clear" w:color="auto" w:fill="auto"/>
            <w:noWrap/>
            <w:vAlign w:val="center"/>
            <w:hideMark/>
          </w:tcPr>
          <w:p w14:paraId="79A43D3C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64" w:rsidRPr="00AA631B" w14:paraId="3B11755B" w14:textId="77777777" w:rsidTr="00E806BC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7B5F00E2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28105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06B1CF3F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R65-34 at 22.27 m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E686226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HK-65b2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A49D6" w14:textId="0BF3D81B" w:rsidR="008826B9" w:rsidRPr="00AA631B" w:rsidRDefault="008826B9" w:rsidP="00C04602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Low-Absent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3F5E4D" w14:textId="77777777" w:rsidR="008826B9" w:rsidRPr="00AA631B" w:rsidRDefault="008826B9" w:rsidP="00C0460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Derives from a 28 m intersection of HK in Kimb65b containing 15-20% strongly altered xenoliths (occurs close to the sample shown in Fig. 3b and 9.9 m </w:t>
            </w:r>
            <w:proofErr w:type="spellStart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uphole</w:t>
            </w:r>
            <w:proofErr w:type="spellEnd"/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GNx1).</w:t>
            </w:r>
          </w:p>
        </w:tc>
      </w:tr>
      <w:tr w:rsidR="00D34C64" w:rsidRPr="00AA631B" w14:paraId="36B8145C" w14:textId="77777777" w:rsidTr="00E806BC">
        <w:trPr>
          <w:trHeight w:val="227"/>
        </w:trPr>
        <w:tc>
          <w:tcPr>
            <w:tcW w:w="492" w:type="pct"/>
            <w:shd w:val="clear" w:color="auto" w:fill="auto"/>
            <w:noWrap/>
            <w:hideMark/>
          </w:tcPr>
          <w:p w14:paraId="27D0058B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28107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72716508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R65-34 at 76.42 m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33DE55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HK65b3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D5D9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shd w:val="clear" w:color="auto" w:fill="auto"/>
            <w:vAlign w:val="center"/>
            <w:hideMark/>
          </w:tcPr>
          <w:p w14:paraId="3422D0FC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Derives from the middle of a 91.6 m intersection of HK in Kimb65b (12.8 m up hole from GRx1) containing up to ~15 vol.% strongly altered xenoliths.</w:t>
            </w:r>
          </w:p>
        </w:tc>
      </w:tr>
      <w:tr w:rsidR="00D34C64" w:rsidRPr="00AA631B" w14:paraId="0C0C3354" w14:textId="77777777" w:rsidTr="00E52624">
        <w:trPr>
          <w:trHeight w:val="227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F1EBD5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28104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F11F2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R65-36 at 275.22 m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43D2D0" w14:textId="77777777" w:rsidR="008826B9" w:rsidRPr="00AA631B" w:rsidRDefault="008826B9" w:rsidP="00B740C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HK-65c</w:t>
            </w: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B3447" w14:textId="77777777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162E8" w14:textId="2017E271" w:rsidR="008826B9" w:rsidRPr="00AA631B" w:rsidRDefault="008826B9" w:rsidP="00D34C6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31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Kimb65c, post-pipe cross-cutting xenolith-poor kimberlite dyke.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Derives from the centre of a 1.4 m intersection of hypabyssal kimberlite which occurs within and cross cuts the main pipe KPK infill Kimb65a (Fig. 2). This intersection contains no apparent </w:t>
            </w:r>
            <w:r w:rsidR="00725549"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xenoliths,</w:t>
            </w:r>
            <w:r w:rsidRPr="00AA6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 groundmass is dominated by carbonate.</w:t>
            </w:r>
          </w:p>
        </w:tc>
      </w:tr>
    </w:tbl>
    <w:p w14:paraId="4B19D736" w14:textId="3FF9B8AD" w:rsidR="008826B9" w:rsidRPr="00AA631B" w:rsidRDefault="008826B9" w:rsidP="00D34C6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631B">
        <w:rPr>
          <w:rFonts w:ascii="Times New Roman" w:hAnsi="Times New Roman" w:cs="Times New Roman"/>
          <w:color w:val="000000"/>
          <w:sz w:val="20"/>
          <w:szCs w:val="20"/>
        </w:rPr>
        <w:t>* Samples 28104, 28105, 28107, 37130 and 37037 were collected by Stornoway Diamond</w:t>
      </w:r>
      <w:r w:rsidR="004648E7" w:rsidRPr="00AA631B">
        <w:rPr>
          <w:rFonts w:ascii="Times New Roman" w:hAnsi="Times New Roman" w:cs="Times New Roman"/>
          <w:color w:val="000000"/>
          <w:sz w:val="20"/>
          <w:szCs w:val="20"/>
        </w:rPr>
        <w:t xml:space="preserve"> Corporation</w:t>
      </w:r>
      <w:r w:rsidRPr="00AA631B">
        <w:rPr>
          <w:rFonts w:ascii="Times New Roman" w:hAnsi="Times New Roman" w:cs="Times New Roman"/>
          <w:color w:val="000000"/>
          <w:sz w:val="20"/>
          <w:szCs w:val="20"/>
        </w:rPr>
        <w:t>, the rest by the authors from the collection of Gaudet (2016)</w:t>
      </w:r>
    </w:p>
    <w:p w14:paraId="2A0C22D0" w14:textId="60679CB7" w:rsidR="00657FD3" w:rsidRPr="00FD7DAC" w:rsidRDefault="008826B9" w:rsidP="005A0130">
      <w:pPr>
        <w:pStyle w:val="NoSpacing"/>
        <w:tabs>
          <w:tab w:val="left" w:pos="4320"/>
        </w:tabs>
        <w:rPr>
          <w:rFonts w:cs="Times New Roman"/>
          <w:color w:val="000000"/>
          <w:sz w:val="20"/>
          <w:szCs w:val="20"/>
        </w:rPr>
      </w:pPr>
      <w:r w:rsidRPr="00AA631B">
        <w:rPr>
          <w:rFonts w:cs="Times New Roman"/>
          <w:b/>
          <w:color w:val="000000"/>
          <w:sz w:val="20"/>
          <w:szCs w:val="20"/>
        </w:rPr>
        <w:t xml:space="preserve">† </w:t>
      </w:r>
      <w:r w:rsidRPr="00AA631B">
        <w:rPr>
          <w:rFonts w:cs="Times New Roman"/>
          <w:color w:val="000000"/>
          <w:sz w:val="20"/>
          <w:szCs w:val="20"/>
        </w:rPr>
        <w:t>Location - drillhole number and dept</w:t>
      </w:r>
      <w:r w:rsidR="00B96466" w:rsidRPr="00AA631B">
        <w:rPr>
          <w:rFonts w:cs="Times New Roman"/>
          <w:color w:val="000000"/>
          <w:sz w:val="20"/>
          <w:szCs w:val="20"/>
        </w:rPr>
        <w:t>h</w:t>
      </w:r>
    </w:p>
    <w:p w14:paraId="15C04E88" w14:textId="77777777" w:rsidR="005A0130" w:rsidRPr="00FD7DAC" w:rsidRDefault="005A0130" w:rsidP="005A0130">
      <w:pPr>
        <w:pStyle w:val="NoSpacing"/>
        <w:tabs>
          <w:tab w:val="left" w:pos="4320"/>
        </w:tabs>
        <w:rPr>
          <w:rFonts w:cs="Times New Roman"/>
          <w:color w:val="000000"/>
          <w:sz w:val="20"/>
          <w:szCs w:val="20"/>
        </w:rPr>
      </w:pPr>
    </w:p>
    <w:sectPr w:rsidR="005A0130" w:rsidRPr="00FD7DAC" w:rsidSect="00657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4F6A" w14:textId="77777777" w:rsidR="00E437DB" w:rsidRDefault="00E437DB" w:rsidP="00934110">
      <w:pPr>
        <w:spacing w:after="0" w:line="240" w:lineRule="auto"/>
      </w:pPr>
      <w:r>
        <w:separator/>
      </w:r>
    </w:p>
  </w:endnote>
  <w:endnote w:type="continuationSeparator" w:id="0">
    <w:p w14:paraId="448CC4C3" w14:textId="77777777" w:rsidR="00E437DB" w:rsidRDefault="00E437DB" w:rsidP="0093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E4AF" w14:textId="77777777" w:rsidR="00E437DB" w:rsidRDefault="00E437DB" w:rsidP="00934110">
      <w:pPr>
        <w:spacing w:after="0" w:line="240" w:lineRule="auto"/>
      </w:pPr>
      <w:r>
        <w:separator/>
      </w:r>
    </w:p>
  </w:footnote>
  <w:footnote w:type="continuationSeparator" w:id="0">
    <w:p w14:paraId="6A0FCCDF" w14:textId="77777777" w:rsidR="00E437DB" w:rsidRDefault="00E437DB" w:rsidP="0093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4D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46A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6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123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146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AC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24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3AF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6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8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76C"/>
    <w:multiLevelType w:val="hybridMultilevel"/>
    <w:tmpl w:val="E534AA84"/>
    <w:lvl w:ilvl="0" w:tplc="4F083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F5840"/>
    <w:multiLevelType w:val="hybridMultilevel"/>
    <w:tmpl w:val="B0A88C78"/>
    <w:lvl w:ilvl="0" w:tplc="3AEA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D1958"/>
    <w:multiLevelType w:val="hybridMultilevel"/>
    <w:tmpl w:val="7E74AE02"/>
    <w:lvl w:ilvl="0" w:tplc="82080E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36FF"/>
    <w:multiLevelType w:val="hybridMultilevel"/>
    <w:tmpl w:val="CDAA896E"/>
    <w:lvl w:ilvl="0" w:tplc="7194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0CB5"/>
    <w:multiLevelType w:val="hybridMultilevel"/>
    <w:tmpl w:val="BDC6C6AE"/>
    <w:lvl w:ilvl="0" w:tplc="3AEA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773B1"/>
    <w:multiLevelType w:val="hybridMultilevel"/>
    <w:tmpl w:val="76201B90"/>
    <w:lvl w:ilvl="0" w:tplc="3AEA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14CF"/>
    <w:multiLevelType w:val="hybridMultilevel"/>
    <w:tmpl w:val="4A805E7C"/>
    <w:lvl w:ilvl="0" w:tplc="3B882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za3NDSyMDU1MjJW0lEKTi0uzszPAykwrAUAdggx3CwAAAA="/>
  </w:docVars>
  <w:rsids>
    <w:rsidRoot w:val="001D6434"/>
    <w:rsid w:val="0000476E"/>
    <w:rsid w:val="0000737F"/>
    <w:rsid w:val="000124F5"/>
    <w:rsid w:val="00023BDF"/>
    <w:rsid w:val="00026309"/>
    <w:rsid w:val="00033825"/>
    <w:rsid w:val="000528A0"/>
    <w:rsid w:val="00060A81"/>
    <w:rsid w:val="00062A64"/>
    <w:rsid w:val="00067CFB"/>
    <w:rsid w:val="000704E7"/>
    <w:rsid w:val="000901FE"/>
    <w:rsid w:val="000A3DA9"/>
    <w:rsid w:val="000A793C"/>
    <w:rsid w:val="000B48B0"/>
    <w:rsid w:val="000C62D0"/>
    <w:rsid w:val="000D2006"/>
    <w:rsid w:val="000D4ED8"/>
    <w:rsid w:val="000E0B47"/>
    <w:rsid w:val="000E69FF"/>
    <w:rsid w:val="000E7353"/>
    <w:rsid w:val="000E753D"/>
    <w:rsid w:val="000F618C"/>
    <w:rsid w:val="000F6752"/>
    <w:rsid w:val="00101C0F"/>
    <w:rsid w:val="00102357"/>
    <w:rsid w:val="00123D73"/>
    <w:rsid w:val="00130793"/>
    <w:rsid w:val="00135904"/>
    <w:rsid w:val="00141099"/>
    <w:rsid w:val="00144781"/>
    <w:rsid w:val="001448E7"/>
    <w:rsid w:val="00154B5F"/>
    <w:rsid w:val="00164DAD"/>
    <w:rsid w:val="001831AF"/>
    <w:rsid w:val="001960EE"/>
    <w:rsid w:val="00196609"/>
    <w:rsid w:val="001A5BCB"/>
    <w:rsid w:val="001A5C74"/>
    <w:rsid w:val="001B76B4"/>
    <w:rsid w:val="001D4B97"/>
    <w:rsid w:val="001D6434"/>
    <w:rsid w:val="001D73CF"/>
    <w:rsid w:val="001F71B4"/>
    <w:rsid w:val="00200F57"/>
    <w:rsid w:val="00206976"/>
    <w:rsid w:val="00206C91"/>
    <w:rsid w:val="00212327"/>
    <w:rsid w:val="00215DAE"/>
    <w:rsid w:val="00216C66"/>
    <w:rsid w:val="002206F2"/>
    <w:rsid w:val="0023284C"/>
    <w:rsid w:val="00234ACA"/>
    <w:rsid w:val="00235F3E"/>
    <w:rsid w:val="00237974"/>
    <w:rsid w:val="002473BB"/>
    <w:rsid w:val="00247514"/>
    <w:rsid w:val="00247C72"/>
    <w:rsid w:val="002530F1"/>
    <w:rsid w:val="00276937"/>
    <w:rsid w:val="00277A29"/>
    <w:rsid w:val="00280270"/>
    <w:rsid w:val="0028208B"/>
    <w:rsid w:val="00287AA9"/>
    <w:rsid w:val="00287C14"/>
    <w:rsid w:val="002A574A"/>
    <w:rsid w:val="002A7F02"/>
    <w:rsid w:val="002B3164"/>
    <w:rsid w:val="002B35EB"/>
    <w:rsid w:val="002C1393"/>
    <w:rsid w:val="002C37DF"/>
    <w:rsid w:val="002E306C"/>
    <w:rsid w:val="002E4ED3"/>
    <w:rsid w:val="002F6E20"/>
    <w:rsid w:val="003123CC"/>
    <w:rsid w:val="00312F6A"/>
    <w:rsid w:val="00317F88"/>
    <w:rsid w:val="00327245"/>
    <w:rsid w:val="00330BD0"/>
    <w:rsid w:val="0033729F"/>
    <w:rsid w:val="00350F6E"/>
    <w:rsid w:val="00352072"/>
    <w:rsid w:val="00354674"/>
    <w:rsid w:val="00356EFE"/>
    <w:rsid w:val="00361C4B"/>
    <w:rsid w:val="00361E00"/>
    <w:rsid w:val="00380860"/>
    <w:rsid w:val="003916BD"/>
    <w:rsid w:val="003B31E5"/>
    <w:rsid w:val="003B5E93"/>
    <w:rsid w:val="003C042E"/>
    <w:rsid w:val="003C76FE"/>
    <w:rsid w:val="003D09E4"/>
    <w:rsid w:val="003E5745"/>
    <w:rsid w:val="003F5B27"/>
    <w:rsid w:val="00401AD0"/>
    <w:rsid w:val="0041706A"/>
    <w:rsid w:val="004237C5"/>
    <w:rsid w:val="00426619"/>
    <w:rsid w:val="004610B5"/>
    <w:rsid w:val="00464337"/>
    <w:rsid w:val="004648E7"/>
    <w:rsid w:val="00467E76"/>
    <w:rsid w:val="00476962"/>
    <w:rsid w:val="00482A83"/>
    <w:rsid w:val="004831B2"/>
    <w:rsid w:val="00496365"/>
    <w:rsid w:val="004C40AA"/>
    <w:rsid w:val="004E5428"/>
    <w:rsid w:val="004E78DE"/>
    <w:rsid w:val="004F50D5"/>
    <w:rsid w:val="00506BC2"/>
    <w:rsid w:val="00515D6B"/>
    <w:rsid w:val="0051691A"/>
    <w:rsid w:val="00524961"/>
    <w:rsid w:val="005306F7"/>
    <w:rsid w:val="00535F5B"/>
    <w:rsid w:val="005371A5"/>
    <w:rsid w:val="005411B4"/>
    <w:rsid w:val="00552900"/>
    <w:rsid w:val="00556B2B"/>
    <w:rsid w:val="00561AD7"/>
    <w:rsid w:val="00565D5B"/>
    <w:rsid w:val="005812F7"/>
    <w:rsid w:val="00586A66"/>
    <w:rsid w:val="00597B3C"/>
    <w:rsid w:val="005A0130"/>
    <w:rsid w:val="005A0723"/>
    <w:rsid w:val="005A43F7"/>
    <w:rsid w:val="005A473B"/>
    <w:rsid w:val="005B057D"/>
    <w:rsid w:val="005B27C2"/>
    <w:rsid w:val="005B5FA2"/>
    <w:rsid w:val="005D041B"/>
    <w:rsid w:val="005D18EF"/>
    <w:rsid w:val="005D3EE5"/>
    <w:rsid w:val="005D4B7E"/>
    <w:rsid w:val="005D51D2"/>
    <w:rsid w:val="005D556B"/>
    <w:rsid w:val="005E412F"/>
    <w:rsid w:val="005E474D"/>
    <w:rsid w:val="005E7563"/>
    <w:rsid w:val="005F13B9"/>
    <w:rsid w:val="005F26A7"/>
    <w:rsid w:val="005F2F29"/>
    <w:rsid w:val="006115E3"/>
    <w:rsid w:val="00611E6F"/>
    <w:rsid w:val="00640819"/>
    <w:rsid w:val="0064419C"/>
    <w:rsid w:val="00651428"/>
    <w:rsid w:val="0065411C"/>
    <w:rsid w:val="006543C6"/>
    <w:rsid w:val="006553D4"/>
    <w:rsid w:val="00657FD3"/>
    <w:rsid w:val="00661CE2"/>
    <w:rsid w:val="00672217"/>
    <w:rsid w:val="006733F7"/>
    <w:rsid w:val="00673A04"/>
    <w:rsid w:val="00676568"/>
    <w:rsid w:val="00677E88"/>
    <w:rsid w:val="00681C7C"/>
    <w:rsid w:val="00684C3F"/>
    <w:rsid w:val="0069182B"/>
    <w:rsid w:val="00694AC0"/>
    <w:rsid w:val="0069648F"/>
    <w:rsid w:val="006A6B28"/>
    <w:rsid w:val="006B5DF1"/>
    <w:rsid w:val="006D35A8"/>
    <w:rsid w:val="006D36E8"/>
    <w:rsid w:val="006E11BB"/>
    <w:rsid w:val="006E7864"/>
    <w:rsid w:val="006F4094"/>
    <w:rsid w:val="0070005F"/>
    <w:rsid w:val="00703B12"/>
    <w:rsid w:val="00715676"/>
    <w:rsid w:val="007240E2"/>
    <w:rsid w:val="00724D5B"/>
    <w:rsid w:val="00725549"/>
    <w:rsid w:val="00727627"/>
    <w:rsid w:val="00735FD5"/>
    <w:rsid w:val="00737131"/>
    <w:rsid w:val="007372CA"/>
    <w:rsid w:val="007466A6"/>
    <w:rsid w:val="007477D2"/>
    <w:rsid w:val="00747C7E"/>
    <w:rsid w:val="00752087"/>
    <w:rsid w:val="007579FC"/>
    <w:rsid w:val="00764CCD"/>
    <w:rsid w:val="0077740D"/>
    <w:rsid w:val="00794876"/>
    <w:rsid w:val="007C677A"/>
    <w:rsid w:val="007D3F5C"/>
    <w:rsid w:val="007D5B6A"/>
    <w:rsid w:val="007E73AD"/>
    <w:rsid w:val="007F4B81"/>
    <w:rsid w:val="007F73DC"/>
    <w:rsid w:val="00810AA9"/>
    <w:rsid w:val="00816AFA"/>
    <w:rsid w:val="00827385"/>
    <w:rsid w:val="008331D0"/>
    <w:rsid w:val="00834292"/>
    <w:rsid w:val="00840425"/>
    <w:rsid w:val="00840527"/>
    <w:rsid w:val="00840B05"/>
    <w:rsid w:val="008429D9"/>
    <w:rsid w:val="008519AB"/>
    <w:rsid w:val="0085533F"/>
    <w:rsid w:val="00856B9E"/>
    <w:rsid w:val="00857A3F"/>
    <w:rsid w:val="00861880"/>
    <w:rsid w:val="00863FAE"/>
    <w:rsid w:val="00867197"/>
    <w:rsid w:val="00867DAC"/>
    <w:rsid w:val="008815F3"/>
    <w:rsid w:val="008826B9"/>
    <w:rsid w:val="00882862"/>
    <w:rsid w:val="00883AD0"/>
    <w:rsid w:val="008914F1"/>
    <w:rsid w:val="00891CD2"/>
    <w:rsid w:val="00894B88"/>
    <w:rsid w:val="008A4248"/>
    <w:rsid w:val="008A457D"/>
    <w:rsid w:val="008A5845"/>
    <w:rsid w:val="008D60D4"/>
    <w:rsid w:val="008E1891"/>
    <w:rsid w:val="008E4918"/>
    <w:rsid w:val="008F4E72"/>
    <w:rsid w:val="008F68AA"/>
    <w:rsid w:val="00901911"/>
    <w:rsid w:val="00902233"/>
    <w:rsid w:val="0091090A"/>
    <w:rsid w:val="009230B9"/>
    <w:rsid w:val="009333EB"/>
    <w:rsid w:val="00934110"/>
    <w:rsid w:val="00936FD7"/>
    <w:rsid w:val="00942E14"/>
    <w:rsid w:val="00943082"/>
    <w:rsid w:val="00944835"/>
    <w:rsid w:val="0095353B"/>
    <w:rsid w:val="00960809"/>
    <w:rsid w:val="00981E38"/>
    <w:rsid w:val="0099100C"/>
    <w:rsid w:val="00996569"/>
    <w:rsid w:val="009A4CC7"/>
    <w:rsid w:val="009A512A"/>
    <w:rsid w:val="009B7026"/>
    <w:rsid w:val="009C1910"/>
    <w:rsid w:val="009C3E48"/>
    <w:rsid w:val="009C3FAD"/>
    <w:rsid w:val="009C4F7C"/>
    <w:rsid w:val="009E058F"/>
    <w:rsid w:val="009E2417"/>
    <w:rsid w:val="009E534A"/>
    <w:rsid w:val="009F24F9"/>
    <w:rsid w:val="009F2897"/>
    <w:rsid w:val="00A00861"/>
    <w:rsid w:val="00A04503"/>
    <w:rsid w:val="00A24214"/>
    <w:rsid w:val="00A40B75"/>
    <w:rsid w:val="00A50B29"/>
    <w:rsid w:val="00A51272"/>
    <w:rsid w:val="00A53790"/>
    <w:rsid w:val="00A63502"/>
    <w:rsid w:val="00A67BA6"/>
    <w:rsid w:val="00A73710"/>
    <w:rsid w:val="00A92768"/>
    <w:rsid w:val="00A93A0C"/>
    <w:rsid w:val="00A95340"/>
    <w:rsid w:val="00A956B0"/>
    <w:rsid w:val="00AA0C50"/>
    <w:rsid w:val="00AA348F"/>
    <w:rsid w:val="00AA574B"/>
    <w:rsid w:val="00AA631B"/>
    <w:rsid w:val="00AC07FC"/>
    <w:rsid w:val="00AD04EA"/>
    <w:rsid w:val="00AD2DF8"/>
    <w:rsid w:val="00AE31EB"/>
    <w:rsid w:val="00AE7C07"/>
    <w:rsid w:val="00AF5F52"/>
    <w:rsid w:val="00B07217"/>
    <w:rsid w:val="00B203A4"/>
    <w:rsid w:val="00B262D5"/>
    <w:rsid w:val="00B307E5"/>
    <w:rsid w:val="00B3121F"/>
    <w:rsid w:val="00B4248A"/>
    <w:rsid w:val="00B44198"/>
    <w:rsid w:val="00B525B9"/>
    <w:rsid w:val="00B556C1"/>
    <w:rsid w:val="00B60313"/>
    <w:rsid w:val="00B649FA"/>
    <w:rsid w:val="00B64BF0"/>
    <w:rsid w:val="00B64F3C"/>
    <w:rsid w:val="00B740C0"/>
    <w:rsid w:val="00B779AE"/>
    <w:rsid w:val="00B90B97"/>
    <w:rsid w:val="00B93656"/>
    <w:rsid w:val="00B94AA6"/>
    <w:rsid w:val="00B95ACD"/>
    <w:rsid w:val="00B96466"/>
    <w:rsid w:val="00BA04CE"/>
    <w:rsid w:val="00BA2158"/>
    <w:rsid w:val="00BA57E4"/>
    <w:rsid w:val="00BB3E1B"/>
    <w:rsid w:val="00BB780B"/>
    <w:rsid w:val="00BC18A9"/>
    <w:rsid w:val="00BC3E28"/>
    <w:rsid w:val="00BE25A0"/>
    <w:rsid w:val="00BE7EE3"/>
    <w:rsid w:val="00BF4B8D"/>
    <w:rsid w:val="00C04602"/>
    <w:rsid w:val="00C11405"/>
    <w:rsid w:val="00C13E74"/>
    <w:rsid w:val="00C30490"/>
    <w:rsid w:val="00C35B49"/>
    <w:rsid w:val="00C43A16"/>
    <w:rsid w:val="00C445F3"/>
    <w:rsid w:val="00C471D8"/>
    <w:rsid w:val="00C53904"/>
    <w:rsid w:val="00C5749B"/>
    <w:rsid w:val="00C61D5E"/>
    <w:rsid w:val="00C62616"/>
    <w:rsid w:val="00C63FEA"/>
    <w:rsid w:val="00C679F4"/>
    <w:rsid w:val="00C715EA"/>
    <w:rsid w:val="00C718BF"/>
    <w:rsid w:val="00C7629D"/>
    <w:rsid w:val="00C844B6"/>
    <w:rsid w:val="00C85033"/>
    <w:rsid w:val="00C8597C"/>
    <w:rsid w:val="00CA21B2"/>
    <w:rsid w:val="00CB0660"/>
    <w:rsid w:val="00CC304A"/>
    <w:rsid w:val="00CC3760"/>
    <w:rsid w:val="00CD0E02"/>
    <w:rsid w:val="00CD1A37"/>
    <w:rsid w:val="00CD5AB0"/>
    <w:rsid w:val="00CD7474"/>
    <w:rsid w:val="00CF2406"/>
    <w:rsid w:val="00D000AE"/>
    <w:rsid w:val="00D05F32"/>
    <w:rsid w:val="00D07835"/>
    <w:rsid w:val="00D324BD"/>
    <w:rsid w:val="00D34C64"/>
    <w:rsid w:val="00D34FEF"/>
    <w:rsid w:val="00D572DF"/>
    <w:rsid w:val="00D8647D"/>
    <w:rsid w:val="00D912C5"/>
    <w:rsid w:val="00D975E0"/>
    <w:rsid w:val="00DA21AC"/>
    <w:rsid w:val="00DB0E99"/>
    <w:rsid w:val="00DC651C"/>
    <w:rsid w:val="00DC7F51"/>
    <w:rsid w:val="00DD495F"/>
    <w:rsid w:val="00DD4C69"/>
    <w:rsid w:val="00DE4FB1"/>
    <w:rsid w:val="00DF10DF"/>
    <w:rsid w:val="00DF376C"/>
    <w:rsid w:val="00DF5447"/>
    <w:rsid w:val="00E11A10"/>
    <w:rsid w:val="00E24326"/>
    <w:rsid w:val="00E251C4"/>
    <w:rsid w:val="00E266F0"/>
    <w:rsid w:val="00E365A0"/>
    <w:rsid w:val="00E437DB"/>
    <w:rsid w:val="00E44941"/>
    <w:rsid w:val="00E52624"/>
    <w:rsid w:val="00E563A3"/>
    <w:rsid w:val="00E60C6E"/>
    <w:rsid w:val="00E61001"/>
    <w:rsid w:val="00E61DA2"/>
    <w:rsid w:val="00E65461"/>
    <w:rsid w:val="00E67D09"/>
    <w:rsid w:val="00E806BC"/>
    <w:rsid w:val="00E81961"/>
    <w:rsid w:val="00E86399"/>
    <w:rsid w:val="00E87339"/>
    <w:rsid w:val="00EA24D9"/>
    <w:rsid w:val="00EA7480"/>
    <w:rsid w:val="00EB3A17"/>
    <w:rsid w:val="00EB4FCB"/>
    <w:rsid w:val="00EC4ADB"/>
    <w:rsid w:val="00EC767F"/>
    <w:rsid w:val="00ED53FA"/>
    <w:rsid w:val="00EE282A"/>
    <w:rsid w:val="00EF286D"/>
    <w:rsid w:val="00EF551B"/>
    <w:rsid w:val="00F014D3"/>
    <w:rsid w:val="00F020A4"/>
    <w:rsid w:val="00F042D3"/>
    <w:rsid w:val="00F16219"/>
    <w:rsid w:val="00F26D2A"/>
    <w:rsid w:val="00F352B6"/>
    <w:rsid w:val="00F4045D"/>
    <w:rsid w:val="00F43402"/>
    <w:rsid w:val="00F46932"/>
    <w:rsid w:val="00F46DE5"/>
    <w:rsid w:val="00F4703C"/>
    <w:rsid w:val="00F52C14"/>
    <w:rsid w:val="00F74FA3"/>
    <w:rsid w:val="00F9053D"/>
    <w:rsid w:val="00FA6D61"/>
    <w:rsid w:val="00FB4C69"/>
    <w:rsid w:val="00FC3B1B"/>
    <w:rsid w:val="00FC77CC"/>
    <w:rsid w:val="00FC7842"/>
    <w:rsid w:val="00FD66BC"/>
    <w:rsid w:val="00FD6972"/>
    <w:rsid w:val="00FD7DAC"/>
    <w:rsid w:val="00FE50C6"/>
    <w:rsid w:val="00FE7D41"/>
    <w:rsid w:val="00FF3772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40FF"/>
  <w15:docId w15:val="{4BCD56F7-7B79-4597-9464-BA81143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0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B3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2A64"/>
    <w:rPr>
      <w:b/>
      <w:bCs/>
      <w:i w:val="0"/>
      <w:iCs w:val="0"/>
    </w:rPr>
  </w:style>
  <w:style w:type="character" w:customStyle="1" w:styleId="st">
    <w:name w:val="st"/>
    <w:basedOn w:val="DefaultParagraphFont"/>
    <w:rsid w:val="00062A64"/>
  </w:style>
  <w:style w:type="character" w:customStyle="1" w:styleId="apple-converted-space">
    <w:name w:val="apple-converted-space"/>
    <w:basedOn w:val="DefaultParagraphFont"/>
    <w:rsid w:val="00EF286D"/>
  </w:style>
  <w:style w:type="character" w:styleId="Hyperlink">
    <w:name w:val="Hyperlink"/>
    <w:basedOn w:val="DefaultParagraphFont"/>
    <w:uiPriority w:val="99"/>
    <w:unhideWhenUsed/>
    <w:rsid w:val="00A51272"/>
    <w:rPr>
      <w:color w:val="0000FF"/>
      <w:u w:val="single"/>
    </w:rPr>
  </w:style>
  <w:style w:type="table" w:styleId="TableGrid">
    <w:name w:val="Table Grid"/>
    <w:basedOn w:val="TableNormal"/>
    <w:uiPriority w:val="39"/>
    <w:rsid w:val="000338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3825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4B8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F4B8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2738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1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1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4B8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F4B81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D07835"/>
  </w:style>
  <w:style w:type="character" w:customStyle="1" w:styleId="Heading1Char">
    <w:name w:val="Heading 1 Char"/>
    <w:basedOn w:val="DefaultParagraphFont"/>
    <w:link w:val="Heading1"/>
    <w:uiPriority w:val="9"/>
    <w:rsid w:val="007F4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sname">
    <w:name w:val="authors__name"/>
    <w:basedOn w:val="DefaultParagraphFont"/>
    <w:rsid w:val="0094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6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A6D4-6B7A-2A40-ADF2-8884996C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Sofya Niyazova</cp:lastModifiedBy>
  <cp:revision>24</cp:revision>
  <cp:lastPrinted>2020-10-09T06:39:00Z</cp:lastPrinted>
  <dcterms:created xsi:type="dcterms:W3CDTF">2021-02-13T09:52:00Z</dcterms:created>
  <dcterms:modified xsi:type="dcterms:W3CDTF">2021-03-08T11:31:00Z</dcterms:modified>
</cp:coreProperties>
</file>