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26" w:rsidRPr="003C3FA8" w:rsidRDefault="00E55926" w:rsidP="00E55926">
      <w:pPr>
        <w:rPr>
          <w:b/>
        </w:rPr>
      </w:pPr>
      <w:r>
        <w:rPr>
          <w:b/>
        </w:rPr>
        <w:t>Appendix 1. M</w:t>
      </w:r>
      <w:r w:rsidRPr="003C3FA8">
        <w:rPr>
          <w:b/>
        </w:rPr>
        <w:t>icroprobe methods</w:t>
      </w:r>
    </w:p>
    <w:p w:rsidR="00E55926" w:rsidRDefault="00E55926" w:rsidP="00E55926">
      <w:pPr>
        <w:jc w:val="both"/>
        <w:rPr>
          <w:rFonts w:eastAsia="Arial" w:cs="Arial"/>
          <w:noProof/>
          <w:szCs w:val="24"/>
          <w:lang w:eastAsia="en-AU"/>
        </w:rPr>
      </w:pPr>
      <w:r>
        <w:rPr>
          <w:rFonts w:eastAsia="Arial" w:cs="Arial"/>
          <w:noProof/>
          <w:szCs w:val="24"/>
          <w:lang w:eastAsia="en-AU"/>
        </w:rPr>
        <w:t xml:space="preserve">A Joel JXA-8530F Hyperprobe at the CMCA, fitted with five wavelength-dispersive spectrometers (WDS), was used for quantitative analysis of biotite and apatite. Proprietry standards were employed to monitor the accuracy of the analyses. </w:t>
      </w:r>
    </w:p>
    <w:p w:rsidR="00E55926" w:rsidRDefault="00E55926" w:rsidP="00E55926">
      <w:pPr>
        <w:jc w:val="both"/>
        <w:rPr>
          <w:rFonts w:eastAsia="Arial" w:cs="Arial"/>
          <w:noProof/>
          <w:szCs w:val="24"/>
          <w:lang w:eastAsia="en-AU"/>
        </w:rPr>
      </w:pPr>
      <w:r>
        <w:rPr>
          <w:rFonts w:eastAsia="Arial" w:cs="Arial"/>
          <w:noProof/>
          <w:szCs w:val="24"/>
          <w:lang w:eastAsia="en-AU"/>
        </w:rPr>
        <w:t xml:space="preserve">For WDS analyses of biotite, an accelerating voltage of 15 kV and a beam current of 15 nA were used, in conjunction with a beam size of 5 microns. Counting or dwell time was 30 seconds for Ca, Si, Al, Mg, Mn, Na, K, Cr, Fe, Ti and Cl, and 40 seconds for F. </w:t>
      </w:r>
    </w:p>
    <w:p w:rsidR="00E55926" w:rsidRDefault="00E55926" w:rsidP="00E55926">
      <w:pPr>
        <w:jc w:val="both"/>
        <w:rPr>
          <w:rFonts w:eastAsia="Arial" w:cs="Arial"/>
          <w:noProof/>
          <w:szCs w:val="24"/>
          <w:lang w:eastAsia="en-AU"/>
        </w:rPr>
      </w:pPr>
      <w:r>
        <w:rPr>
          <w:rFonts w:eastAsia="Arial" w:cs="Arial"/>
          <w:noProof/>
          <w:szCs w:val="24"/>
          <w:lang w:eastAsia="en-AU"/>
        </w:rPr>
        <w:t xml:space="preserve">For apatite analyses, the beam current was set at 15 nA for Ca, P, Na, F and Cl, and 50nA for Sr, Ce, Nd, Si, Mg, Al, S, Mn, La and Fe. Dwell time was 30 seconds for F, 40 seconds for Ca, P, Si, Mg, Al, Na, Fe, Sr and Cl, 60 seconds for Mn, Ce, La and Nd, and 100 seconds for S. </w:t>
      </w:r>
    </w:p>
    <w:p w:rsidR="00E55926" w:rsidRPr="00572BD9" w:rsidRDefault="00E55926" w:rsidP="00E55926">
      <w:pPr>
        <w:jc w:val="both"/>
        <w:rPr>
          <w:rFonts w:eastAsia="Arial" w:cs="Arial"/>
          <w:b/>
          <w:noProof/>
          <w:szCs w:val="24"/>
          <w:lang w:eastAsia="en-AU"/>
        </w:rPr>
      </w:pPr>
      <w:r w:rsidRPr="00572BD9">
        <w:rPr>
          <w:rFonts w:eastAsia="Arial" w:cs="Arial"/>
          <w:b/>
          <w:noProof/>
          <w:szCs w:val="24"/>
          <w:lang w:eastAsia="en-AU"/>
        </w:rPr>
        <w:t>Appendix</w:t>
      </w:r>
      <w:r>
        <w:rPr>
          <w:rFonts w:eastAsia="Arial" w:cs="Arial"/>
          <w:b/>
          <w:noProof/>
          <w:szCs w:val="24"/>
          <w:lang w:eastAsia="en-AU"/>
        </w:rPr>
        <w:t xml:space="preserve"> 2. </w:t>
      </w:r>
      <w:r w:rsidRPr="00572BD9">
        <w:rPr>
          <w:rFonts w:eastAsia="Arial" w:cs="Arial"/>
          <w:b/>
          <w:noProof/>
          <w:szCs w:val="24"/>
          <w:lang w:eastAsia="en-AU"/>
        </w:rPr>
        <w:t>LA</w:t>
      </w:r>
      <w:r>
        <w:rPr>
          <w:rFonts w:eastAsia="Arial" w:cs="Arial"/>
          <w:b/>
          <w:noProof/>
          <w:szCs w:val="24"/>
          <w:lang w:eastAsia="en-AU"/>
        </w:rPr>
        <w:t>_SF_</w:t>
      </w:r>
      <w:r w:rsidRPr="00572BD9">
        <w:rPr>
          <w:rFonts w:eastAsia="Arial" w:cs="Arial"/>
          <w:b/>
          <w:noProof/>
          <w:szCs w:val="24"/>
          <w:lang w:eastAsia="en-AU"/>
        </w:rPr>
        <w:t>ICP</w:t>
      </w:r>
      <w:r>
        <w:rPr>
          <w:rFonts w:eastAsia="Arial" w:cs="Arial"/>
          <w:b/>
          <w:noProof/>
          <w:szCs w:val="24"/>
          <w:lang w:eastAsia="en-AU"/>
        </w:rPr>
        <w:t>_</w:t>
      </w:r>
      <w:r w:rsidRPr="00572BD9">
        <w:rPr>
          <w:rFonts w:eastAsia="Arial" w:cs="Arial"/>
          <w:b/>
          <w:noProof/>
          <w:szCs w:val="24"/>
          <w:lang w:eastAsia="en-AU"/>
        </w:rPr>
        <w:t>MS</w:t>
      </w:r>
    </w:p>
    <w:p w:rsidR="00E55926" w:rsidRDefault="00E55926" w:rsidP="00E55926">
      <w:pPr>
        <w:jc w:val="both"/>
        <w:rPr>
          <w:rFonts w:cs="Arial"/>
        </w:rPr>
      </w:pPr>
      <w:r w:rsidRPr="007F37A2">
        <w:rPr>
          <w:rFonts w:cs="Arial"/>
        </w:rPr>
        <w:t>Apatite trace element concentrations were determined by LA-SF-ICPMS at The U</w:t>
      </w:r>
      <w:r>
        <w:rPr>
          <w:rFonts w:cs="Arial"/>
        </w:rPr>
        <w:t>niversity of Western Australia.</w:t>
      </w:r>
      <w:r w:rsidRPr="007F37A2">
        <w:rPr>
          <w:rFonts w:cs="Arial"/>
        </w:rPr>
        <w:t xml:space="preserve"> The LA-SF-ICPMS system used in this study consisted </w:t>
      </w:r>
      <w:proofErr w:type="spellStart"/>
      <w:r w:rsidRPr="007F37A2">
        <w:rPr>
          <w:rFonts w:cs="Arial"/>
        </w:rPr>
        <w:t>Cetac</w:t>
      </w:r>
      <w:proofErr w:type="spellEnd"/>
      <w:r w:rsidRPr="007F37A2">
        <w:rPr>
          <w:rFonts w:cs="Arial"/>
        </w:rPr>
        <w:t xml:space="preserve"> </w:t>
      </w:r>
      <w:proofErr w:type="spellStart"/>
      <w:r w:rsidRPr="007F37A2">
        <w:rPr>
          <w:rFonts w:cs="Arial"/>
        </w:rPr>
        <w:t>Analyte</w:t>
      </w:r>
      <w:proofErr w:type="spellEnd"/>
      <w:r w:rsidRPr="007F37A2">
        <w:rPr>
          <w:rFonts w:cs="Arial"/>
        </w:rPr>
        <w:t xml:space="preserve"> G2 193 nm </w:t>
      </w:r>
      <w:proofErr w:type="spellStart"/>
      <w:r w:rsidRPr="007F37A2">
        <w:rPr>
          <w:rFonts w:cs="Arial"/>
        </w:rPr>
        <w:t>ArF</w:t>
      </w:r>
      <w:proofErr w:type="spellEnd"/>
      <w:r w:rsidRPr="007F37A2">
        <w:rPr>
          <w:rFonts w:cs="Arial"/>
        </w:rPr>
        <w:t xml:space="preserve"> laser coupled to an Element XR ICPMS</w:t>
      </w:r>
      <w:r>
        <w:rPr>
          <w:rFonts w:cs="Arial"/>
        </w:rPr>
        <w:t>.</w:t>
      </w:r>
      <w:r w:rsidRPr="007F37A2">
        <w:rPr>
          <w:rFonts w:cs="Arial"/>
        </w:rPr>
        <w:t xml:space="preserve"> The Element XR was operated in high sensitivity mode by employing a higher vacuum interface along with the Jet sample cone and X skimmer cone configuration and the addition of 7 to 9 mL/min N</w:t>
      </w:r>
      <w:r w:rsidRPr="007F37A2">
        <w:rPr>
          <w:rFonts w:cs="Arial"/>
          <w:vertAlign w:val="superscript"/>
        </w:rPr>
        <w:t>2</w:t>
      </w:r>
      <w:r w:rsidRPr="007F37A2">
        <w:rPr>
          <w:rFonts w:cs="Arial"/>
        </w:rPr>
        <w:t xml:space="preserve">.  A total of 1 L/min of </w:t>
      </w:r>
      <w:proofErr w:type="spellStart"/>
      <w:proofErr w:type="gramStart"/>
      <w:r w:rsidRPr="007F37A2">
        <w:rPr>
          <w:rFonts w:cs="Arial"/>
        </w:rPr>
        <w:t>He</w:t>
      </w:r>
      <w:proofErr w:type="spellEnd"/>
      <w:proofErr w:type="gramEnd"/>
      <w:r w:rsidRPr="007F37A2">
        <w:rPr>
          <w:rFonts w:cs="Arial"/>
        </w:rPr>
        <w:t xml:space="preserve"> carrier gas was added through the laser cell and Helix sample cup. </w:t>
      </w:r>
      <w:r>
        <w:rPr>
          <w:rFonts w:cs="Arial"/>
        </w:rPr>
        <w:t xml:space="preserve"> Laser ablation analyse</w:t>
      </w:r>
      <w:r w:rsidRPr="007F37A2">
        <w:rPr>
          <w:rFonts w:cs="Arial"/>
        </w:rPr>
        <w:t xml:space="preserve">s were carried out using a </w:t>
      </w:r>
      <w:proofErr w:type="spellStart"/>
      <w:r w:rsidRPr="007F37A2">
        <w:rPr>
          <w:rFonts w:cs="Arial"/>
        </w:rPr>
        <w:t>fluence</w:t>
      </w:r>
      <w:proofErr w:type="spellEnd"/>
      <w:r w:rsidRPr="007F37A2">
        <w:rPr>
          <w:rFonts w:cs="Arial"/>
        </w:rPr>
        <w:t xml:space="preserve"> of 4 J/cm</w:t>
      </w:r>
      <w:r w:rsidRPr="007F37A2">
        <w:rPr>
          <w:rFonts w:cs="Arial"/>
          <w:vertAlign w:val="superscript"/>
        </w:rPr>
        <w:t>2</w:t>
      </w:r>
      <w:r w:rsidRPr="007F37A2">
        <w:rPr>
          <w:rFonts w:cs="Arial"/>
        </w:rPr>
        <w:t xml:space="preserve">, a laser repetition rate of 5Hz, and laser spot diameter of 35 um. Each analysis consisted of a 30 s gas blank, 10 second laser “warm up” period, followed by 60 seconds of ablation time for a total of 300 laser pulses.  Each analysis was followed by a 20 s washout period before the next analysis began.  The measured masses are listed in the table below.   Daily </w:t>
      </w:r>
      <w:proofErr w:type="spellStart"/>
      <w:proofErr w:type="gramStart"/>
      <w:r w:rsidRPr="007F37A2">
        <w:rPr>
          <w:rFonts w:cs="Arial"/>
        </w:rPr>
        <w:t>ThO</w:t>
      </w:r>
      <w:proofErr w:type="spellEnd"/>
      <w:r w:rsidRPr="007F37A2">
        <w:rPr>
          <w:rFonts w:cs="Arial"/>
        </w:rPr>
        <w:t>/</w:t>
      </w:r>
      <w:proofErr w:type="spellStart"/>
      <w:proofErr w:type="gramEnd"/>
      <w:r w:rsidRPr="007F37A2">
        <w:rPr>
          <w:rFonts w:cs="Arial"/>
        </w:rPr>
        <w:t>Th</w:t>
      </w:r>
      <w:proofErr w:type="spellEnd"/>
      <w:r w:rsidRPr="007F37A2">
        <w:rPr>
          <w:rFonts w:cs="Arial"/>
        </w:rPr>
        <w:t xml:space="preserve"> was routinely less than 0.3</w:t>
      </w:r>
      <w:r w:rsidRPr="007F37A2">
        <w:rPr>
          <w:rFonts w:cs="Arial"/>
          <w:b/>
          <w:bCs/>
        </w:rPr>
        <w:t>%</w:t>
      </w:r>
      <w:r w:rsidRPr="007F37A2">
        <w:rPr>
          <w:rFonts w:cs="Arial"/>
        </w:rPr>
        <w:t xml:space="preserve"> percent, and </w:t>
      </w:r>
      <w:r w:rsidRPr="007F37A2">
        <w:rPr>
          <w:rFonts w:cs="Arial"/>
          <w:vertAlign w:val="superscript"/>
        </w:rPr>
        <w:t>232</w:t>
      </w:r>
      <w:r w:rsidRPr="007F37A2">
        <w:rPr>
          <w:rFonts w:cs="Arial"/>
        </w:rPr>
        <w:t>Th/</w:t>
      </w:r>
      <w:r w:rsidRPr="007F37A2">
        <w:rPr>
          <w:rFonts w:cs="Arial"/>
          <w:vertAlign w:val="superscript"/>
        </w:rPr>
        <w:t>238</w:t>
      </w:r>
      <w:r w:rsidRPr="007F37A2">
        <w:rPr>
          <w:rFonts w:cs="Arial"/>
        </w:rPr>
        <w:t xml:space="preserve">U is tuned to be ~1. All analyses were calibrated to the NIST 612 glass standard using the preferred values provided by </w:t>
      </w:r>
      <w:proofErr w:type="spellStart"/>
      <w:r w:rsidRPr="007F37A2">
        <w:rPr>
          <w:rFonts w:cs="Arial"/>
        </w:rPr>
        <w:t>GeoReM</w:t>
      </w:r>
      <w:proofErr w:type="spellEnd"/>
      <w:r w:rsidRPr="007F37A2">
        <w:rPr>
          <w:rFonts w:cs="Arial"/>
        </w:rPr>
        <w:t xml:space="preserve"> (http://georem.mpch-mainz.gwdg.de/).  The MAD and Tory Hill apatite (Fisher et al., 2020) were employed as a secondary standard to monitor the accuracy and reproducibility of the method.  Data were reduced with the method described in using the Iolite 4 software platform (</w:t>
      </w:r>
      <w:r w:rsidRPr="00E55926">
        <w:rPr>
          <w:rFonts w:cs="Arial"/>
          <w:b/>
          <w:color w:val="FF0000"/>
        </w:rPr>
        <w:t>Paton et al., 2011</w:t>
      </w:r>
      <w:r w:rsidRPr="007F37A2">
        <w:rPr>
          <w:rFonts w:cs="Arial"/>
        </w:rPr>
        <w:t xml:space="preserve">). </w:t>
      </w:r>
    </w:p>
    <w:p w:rsidR="00E55926" w:rsidRPr="007F37A2" w:rsidRDefault="00E55926" w:rsidP="00E55926">
      <w:pPr>
        <w:jc w:val="both"/>
        <w:rPr>
          <w:rFonts w:cs="Arial"/>
        </w:rPr>
      </w:pPr>
    </w:p>
    <w:tbl>
      <w:tblPr>
        <w:tblStyle w:val="TableGrid"/>
        <w:tblW w:w="0" w:type="auto"/>
        <w:tblLook w:val="04A0" w:firstRow="1" w:lastRow="0" w:firstColumn="1" w:lastColumn="0" w:noHBand="0" w:noVBand="1"/>
      </w:tblPr>
      <w:tblGrid>
        <w:gridCol w:w="3539"/>
        <w:gridCol w:w="5477"/>
      </w:tblGrid>
      <w:tr w:rsidR="00E55926" w:rsidRPr="006B00B8" w:rsidTr="00AA05EA">
        <w:tc>
          <w:tcPr>
            <w:tcW w:w="3539" w:type="dxa"/>
            <w:shd w:val="clear" w:color="auto" w:fill="auto"/>
          </w:tcPr>
          <w:p w:rsidR="00E55926" w:rsidRPr="006B00B8" w:rsidRDefault="00E55926" w:rsidP="00AA05EA">
            <w:pPr>
              <w:rPr>
                <w:rFonts w:ascii="Times New Roman" w:hAnsi="Times New Roman"/>
                <w:b/>
                <w:lang w:val="fr-FR"/>
              </w:rPr>
            </w:pPr>
            <w:r>
              <w:rPr>
                <w:rFonts w:ascii="Times New Roman" w:hAnsi="Times New Roman"/>
                <w:b/>
                <w:lang w:val="fr-FR"/>
              </w:rPr>
              <w:t xml:space="preserve">Thermo Fisher ELEMENT XR </w:t>
            </w:r>
            <w:r>
              <w:rPr>
                <w:rFonts w:ascii="Times New Roman" w:hAnsi="Times New Roman"/>
                <w:b/>
                <w:lang w:val="fr-FR"/>
              </w:rPr>
              <w:br/>
              <w:t>(SF-</w:t>
            </w:r>
            <w:r w:rsidRPr="006B00B8">
              <w:rPr>
                <w:rFonts w:ascii="Times New Roman" w:hAnsi="Times New Roman"/>
                <w:b/>
                <w:lang w:val="fr-FR"/>
              </w:rPr>
              <w:t>ICP</w:t>
            </w:r>
            <w:r>
              <w:rPr>
                <w:rFonts w:ascii="Times New Roman" w:hAnsi="Times New Roman"/>
                <w:b/>
                <w:lang w:val="fr-FR"/>
              </w:rPr>
              <w:t>-</w:t>
            </w:r>
            <w:r w:rsidRPr="006B00B8">
              <w:rPr>
                <w:rFonts w:ascii="Times New Roman" w:hAnsi="Times New Roman"/>
                <w:b/>
                <w:lang w:val="fr-FR"/>
              </w:rPr>
              <w:t>MS</w:t>
            </w:r>
            <w:r>
              <w:rPr>
                <w:rFonts w:ascii="Times New Roman" w:hAnsi="Times New Roman"/>
                <w:b/>
                <w:lang w:val="fr-FR"/>
              </w:rPr>
              <w:t>)</w:t>
            </w:r>
          </w:p>
        </w:tc>
        <w:tc>
          <w:tcPr>
            <w:tcW w:w="5477" w:type="dxa"/>
            <w:shd w:val="clear" w:color="auto" w:fill="auto"/>
          </w:tcPr>
          <w:p w:rsidR="00E55926" w:rsidRDefault="00E55926" w:rsidP="00AA05EA">
            <w:pPr>
              <w:rPr>
                <w:rFonts w:ascii="Times New Roman" w:hAnsi="Times New Roman"/>
                <w:lang w:val="en-AU"/>
              </w:rPr>
            </w:pPr>
          </w:p>
          <w:p w:rsidR="00E55926" w:rsidRPr="006B00B8" w:rsidRDefault="00E55926" w:rsidP="00AA05EA">
            <w:pPr>
              <w:rPr>
                <w:rFonts w:ascii="Times New Roman" w:hAnsi="Times New Roman"/>
                <w:lang w:val="en-AU"/>
              </w:rPr>
            </w:pPr>
            <w:proofErr w:type="spellStart"/>
            <w:r w:rsidRPr="000C4D38">
              <w:rPr>
                <w:rFonts w:ascii="Times New Roman" w:hAnsi="Times New Roman"/>
                <w:lang w:val="en-AU"/>
              </w:rPr>
              <w:t>Thermo</w:t>
            </w:r>
            <w:proofErr w:type="spellEnd"/>
            <w:r w:rsidRPr="000C4D38">
              <w:rPr>
                <w:rFonts w:ascii="Times New Roman" w:hAnsi="Times New Roman"/>
                <w:lang w:val="en-AU"/>
              </w:rPr>
              <w:t xml:space="preserve"> Fisher Scientific</w:t>
            </w:r>
            <w:r>
              <w:rPr>
                <w:rFonts w:ascii="Times New Roman" w:hAnsi="Times New Roman"/>
                <w:lang w:val="en-AU"/>
              </w:rPr>
              <w:t>, Bremen, Germany</w:t>
            </w:r>
          </w:p>
        </w:tc>
      </w:tr>
      <w:tr w:rsidR="00E55926" w:rsidRPr="00712FDA"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RF forward power</w:t>
            </w:r>
          </w:p>
        </w:tc>
        <w:tc>
          <w:tcPr>
            <w:tcW w:w="5477" w:type="dxa"/>
            <w:shd w:val="clear" w:color="auto" w:fill="auto"/>
          </w:tcPr>
          <w:p w:rsidR="00E55926" w:rsidRPr="00712FDA" w:rsidRDefault="00E55926" w:rsidP="00AA05EA">
            <w:pPr>
              <w:rPr>
                <w:rFonts w:ascii="Times New Roman" w:hAnsi="Times New Roman"/>
                <w:lang w:val="en-AU"/>
              </w:rPr>
            </w:pPr>
            <w:r w:rsidRPr="00712FDA">
              <w:rPr>
                <w:rFonts w:ascii="Times New Roman" w:hAnsi="Times New Roman"/>
                <w:lang w:val="en-AU"/>
              </w:rPr>
              <w:t>1350 W</w:t>
            </w:r>
          </w:p>
        </w:tc>
      </w:tr>
      <w:tr w:rsidR="00E55926" w:rsidRPr="00712FDA"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RF reflected power</w:t>
            </w:r>
          </w:p>
        </w:tc>
        <w:tc>
          <w:tcPr>
            <w:tcW w:w="5477" w:type="dxa"/>
            <w:shd w:val="clear" w:color="auto" w:fill="auto"/>
          </w:tcPr>
          <w:p w:rsidR="00E55926" w:rsidRPr="00712FDA" w:rsidRDefault="00E55926" w:rsidP="00AA05EA">
            <w:pPr>
              <w:rPr>
                <w:rFonts w:ascii="Times New Roman" w:hAnsi="Times New Roman"/>
                <w:lang w:val="en-AU"/>
              </w:rPr>
            </w:pPr>
            <w:r w:rsidRPr="00712FDA">
              <w:rPr>
                <w:rFonts w:ascii="Times New Roman" w:hAnsi="Times New Roman"/>
                <w:lang w:val="en-AU"/>
              </w:rPr>
              <w:t>&lt;4 W</w:t>
            </w:r>
          </w:p>
        </w:tc>
      </w:tr>
      <w:tr w:rsidR="00E55926" w:rsidRPr="00712FDA"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Cool</w:t>
            </w:r>
            <w:r>
              <w:rPr>
                <w:rFonts w:ascii="Times New Roman" w:hAnsi="Times New Roman"/>
                <w:lang w:val="en-AU"/>
              </w:rPr>
              <w:t>ing gas flow (</w:t>
            </w:r>
            <w:proofErr w:type="spellStart"/>
            <w:r>
              <w:rPr>
                <w:rFonts w:ascii="Times New Roman" w:hAnsi="Times New Roman"/>
                <w:lang w:val="en-AU"/>
              </w:rPr>
              <w:t>Ar</w:t>
            </w:r>
            <w:proofErr w:type="spellEnd"/>
            <w:r>
              <w:rPr>
                <w:rFonts w:ascii="Times New Roman" w:hAnsi="Times New Roman"/>
                <w:lang w:val="en-AU"/>
              </w:rPr>
              <w:t>)</w:t>
            </w:r>
          </w:p>
        </w:tc>
        <w:tc>
          <w:tcPr>
            <w:tcW w:w="5477" w:type="dxa"/>
            <w:shd w:val="clear" w:color="auto" w:fill="auto"/>
          </w:tcPr>
          <w:p w:rsidR="00E55926" w:rsidRPr="00712FDA" w:rsidRDefault="00E55926" w:rsidP="00AA05EA">
            <w:pPr>
              <w:rPr>
                <w:rFonts w:ascii="Times New Roman" w:hAnsi="Times New Roman"/>
                <w:lang w:val="en-AU"/>
              </w:rPr>
            </w:pPr>
            <w:r w:rsidRPr="00712FDA">
              <w:rPr>
                <w:rFonts w:ascii="Times New Roman" w:hAnsi="Times New Roman"/>
                <w:lang w:val="en-AU"/>
              </w:rPr>
              <w:t>16 L/min</w:t>
            </w:r>
          </w:p>
        </w:tc>
      </w:tr>
      <w:tr w:rsidR="00E55926" w:rsidRPr="00712FDA"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 xml:space="preserve">Carrier gas </w:t>
            </w:r>
            <w:r>
              <w:rPr>
                <w:rFonts w:ascii="Times New Roman" w:hAnsi="Times New Roman"/>
                <w:lang w:val="en-AU"/>
              </w:rPr>
              <w:t xml:space="preserve">flow </w:t>
            </w:r>
            <w:r w:rsidRPr="006B00B8">
              <w:rPr>
                <w:rFonts w:ascii="Times New Roman" w:hAnsi="Times New Roman"/>
                <w:lang w:val="en-AU"/>
              </w:rPr>
              <w:t>(</w:t>
            </w:r>
            <w:proofErr w:type="spellStart"/>
            <w:r w:rsidRPr="006B00B8">
              <w:rPr>
                <w:rFonts w:ascii="Times New Roman" w:hAnsi="Times New Roman"/>
                <w:lang w:val="en-AU"/>
              </w:rPr>
              <w:t>Ar</w:t>
            </w:r>
            <w:proofErr w:type="spellEnd"/>
            <w:r w:rsidRPr="006B00B8">
              <w:rPr>
                <w:rFonts w:ascii="Times New Roman" w:hAnsi="Times New Roman"/>
                <w:lang w:val="en-AU"/>
              </w:rPr>
              <w:t>)</w:t>
            </w:r>
          </w:p>
        </w:tc>
        <w:tc>
          <w:tcPr>
            <w:tcW w:w="5477" w:type="dxa"/>
            <w:shd w:val="clear" w:color="auto" w:fill="auto"/>
          </w:tcPr>
          <w:p w:rsidR="00E55926" w:rsidRPr="00712FDA" w:rsidRDefault="00E55926" w:rsidP="00AA05EA">
            <w:pPr>
              <w:rPr>
                <w:rFonts w:ascii="Times New Roman" w:hAnsi="Times New Roman"/>
                <w:lang w:val="en-AU"/>
              </w:rPr>
            </w:pPr>
            <w:r w:rsidRPr="00712FDA">
              <w:rPr>
                <w:rFonts w:ascii="Times New Roman" w:hAnsi="Times New Roman"/>
                <w:lang w:val="en-AU"/>
              </w:rPr>
              <w:t>0.95 L/min</w:t>
            </w:r>
          </w:p>
        </w:tc>
      </w:tr>
      <w:tr w:rsidR="00E55926" w:rsidRPr="00712FDA"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Make up gas (He+N</w:t>
            </w:r>
            <w:r w:rsidRPr="006B00B8">
              <w:rPr>
                <w:rFonts w:ascii="Times New Roman" w:hAnsi="Times New Roman"/>
                <w:vertAlign w:val="subscript"/>
                <w:lang w:val="en-AU"/>
              </w:rPr>
              <w:t>2</w:t>
            </w:r>
            <w:r w:rsidRPr="006B00B8">
              <w:rPr>
                <w:rFonts w:ascii="Times New Roman" w:hAnsi="Times New Roman"/>
                <w:lang w:val="en-AU"/>
              </w:rPr>
              <w:t>) flow</w:t>
            </w:r>
          </w:p>
        </w:tc>
        <w:tc>
          <w:tcPr>
            <w:tcW w:w="5477" w:type="dxa"/>
            <w:shd w:val="clear" w:color="auto" w:fill="auto"/>
          </w:tcPr>
          <w:p w:rsidR="00E55926" w:rsidRPr="00712FDA" w:rsidRDefault="00E55926" w:rsidP="00AA05EA">
            <w:pPr>
              <w:rPr>
                <w:rFonts w:ascii="Times New Roman" w:hAnsi="Times New Roman"/>
                <w:lang w:val="en-GB"/>
              </w:rPr>
            </w:pPr>
            <w:r w:rsidRPr="00712FDA">
              <w:rPr>
                <w:rFonts w:ascii="Times New Roman" w:hAnsi="Times New Roman"/>
                <w:lang w:val="en-GB"/>
              </w:rPr>
              <w:t>1.00 L/min He (Cell 0.30 L/min, Cup 0.70 L/min);</w:t>
            </w:r>
          </w:p>
          <w:p w:rsidR="00E55926" w:rsidRPr="00712FDA" w:rsidRDefault="00E55926" w:rsidP="00AA05EA">
            <w:pPr>
              <w:rPr>
                <w:rFonts w:ascii="Times New Roman" w:hAnsi="Times New Roman"/>
                <w:lang w:val="en-GB"/>
              </w:rPr>
            </w:pPr>
            <w:r>
              <w:rPr>
                <w:rFonts w:ascii="Times New Roman" w:hAnsi="Times New Roman"/>
                <w:lang w:val="en-GB"/>
              </w:rPr>
              <w:t>7</w:t>
            </w:r>
            <w:r w:rsidRPr="00712FDA">
              <w:rPr>
                <w:rFonts w:ascii="Times New Roman" w:hAnsi="Times New Roman"/>
                <w:lang w:val="en-GB"/>
              </w:rPr>
              <w:t xml:space="preserve"> mL/min N</w:t>
            </w:r>
            <w:r w:rsidRPr="00712FDA">
              <w:rPr>
                <w:rFonts w:ascii="Times New Roman" w:hAnsi="Times New Roman"/>
                <w:vertAlign w:val="subscript"/>
                <w:lang w:val="en-GB"/>
              </w:rPr>
              <w:t>2</w:t>
            </w:r>
          </w:p>
        </w:tc>
      </w:tr>
      <w:tr w:rsidR="00E55926" w:rsidRPr="00712FDA"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lastRenderedPageBreak/>
              <w:t>Monitored masses</w:t>
            </w:r>
          </w:p>
        </w:tc>
        <w:tc>
          <w:tcPr>
            <w:tcW w:w="5477" w:type="dxa"/>
            <w:shd w:val="clear" w:color="auto" w:fill="auto"/>
          </w:tcPr>
          <w:p w:rsidR="00E55926" w:rsidRPr="00712FDA" w:rsidRDefault="00E55926" w:rsidP="00AA05EA">
            <w:pPr>
              <w:rPr>
                <w:rFonts w:ascii="Times New Roman" w:hAnsi="Times New Roman"/>
                <w:lang w:val="en-AU"/>
              </w:rPr>
            </w:pPr>
            <w:r>
              <w:rPr>
                <w:rFonts w:ascii="Times New Roman" w:hAnsi="Times New Roman"/>
                <w:vertAlign w:val="superscript"/>
                <w:lang w:val="en-GB"/>
              </w:rPr>
              <w:t>29</w:t>
            </w:r>
            <w:r>
              <w:rPr>
                <w:rFonts w:ascii="Times New Roman" w:hAnsi="Times New Roman"/>
                <w:lang w:val="en-GB"/>
              </w:rPr>
              <w:t>Si</w:t>
            </w:r>
            <w:r w:rsidRPr="00712FDA">
              <w:rPr>
                <w:rFonts w:ascii="Times New Roman" w:hAnsi="Times New Roman"/>
                <w:lang w:val="en-GB"/>
              </w:rPr>
              <w:t xml:space="preserve">, </w:t>
            </w:r>
            <w:r>
              <w:rPr>
                <w:rFonts w:ascii="Times New Roman" w:hAnsi="Times New Roman"/>
                <w:vertAlign w:val="superscript"/>
                <w:lang w:val="en-GB"/>
              </w:rPr>
              <w:t>31</w:t>
            </w:r>
            <w:r>
              <w:rPr>
                <w:rFonts w:ascii="Times New Roman" w:hAnsi="Times New Roman"/>
                <w:lang w:val="en-GB"/>
              </w:rPr>
              <w:t>P</w:t>
            </w:r>
            <w:r w:rsidRPr="00712FDA">
              <w:rPr>
                <w:rFonts w:ascii="Times New Roman" w:hAnsi="Times New Roman"/>
                <w:lang w:val="en-GB"/>
              </w:rPr>
              <w:t xml:space="preserve">, </w:t>
            </w:r>
            <w:r>
              <w:rPr>
                <w:rFonts w:ascii="Times New Roman" w:hAnsi="Times New Roman"/>
                <w:vertAlign w:val="superscript"/>
                <w:lang w:val="en-GB"/>
              </w:rPr>
              <w:t>43</w:t>
            </w:r>
            <w:r>
              <w:rPr>
                <w:rFonts w:ascii="Times New Roman" w:hAnsi="Times New Roman"/>
                <w:lang w:val="en-GB"/>
              </w:rPr>
              <w:t>Ca</w:t>
            </w:r>
            <w:r w:rsidRPr="00712FDA">
              <w:rPr>
                <w:rFonts w:ascii="Times New Roman" w:hAnsi="Times New Roman"/>
                <w:lang w:val="en-GB"/>
              </w:rPr>
              <w:t xml:space="preserve">, </w:t>
            </w:r>
            <w:r>
              <w:rPr>
                <w:rFonts w:ascii="Times New Roman" w:hAnsi="Times New Roman"/>
                <w:vertAlign w:val="superscript"/>
                <w:lang w:val="en-GB"/>
              </w:rPr>
              <w:t>49</w:t>
            </w:r>
            <w:r>
              <w:rPr>
                <w:rFonts w:ascii="Times New Roman" w:hAnsi="Times New Roman"/>
                <w:lang w:val="en-GB"/>
              </w:rPr>
              <w:t>Ti</w:t>
            </w:r>
            <w:r w:rsidRPr="00712FDA">
              <w:rPr>
                <w:rFonts w:ascii="Times New Roman" w:hAnsi="Times New Roman"/>
                <w:lang w:val="en-GB"/>
              </w:rPr>
              <w:t xml:space="preserve">, </w:t>
            </w:r>
            <w:r>
              <w:rPr>
                <w:rFonts w:ascii="Times New Roman" w:hAnsi="Times New Roman"/>
                <w:vertAlign w:val="superscript"/>
                <w:lang w:val="en-GB"/>
              </w:rPr>
              <w:t>51</w:t>
            </w:r>
            <w:r>
              <w:rPr>
                <w:rFonts w:ascii="Times New Roman" w:hAnsi="Times New Roman"/>
                <w:lang w:val="en-GB"/>
              </w:rPr>
              <w:t>V</w:t>
            </w:r>
            <w:r w:rsidRPr="00712FDA">
              <w:rPr>
                <w:rFonts w:ascii="Times New Roman" w:hAnsi="Times New Roman"/>
                <w:lang w:val="en-GB"/>
              </w:rPr>
              <w:t xml:space="preserve">, </w:t>
            </w:r>
            <w:r>
              <w:rPr>
                <w:rFonts w:ascii="Times New Roman" w:hAnsi="Times New Roman"/>
                <w:vertAlign w:val="superscript"/>
                <w:lang w:val="en-GB"/>
              </w:rPr>
              <w:t>55</w:t>
            </w:r>
            <w:r>
              <w:rPr>
                <w:rFonts w:ascii="Times New Roman" w:hAnsi="Times New Roman"/>
                <w:lang w:val="en-GB"/>
              </w:rPr>
              <w:t>Mn</w:t>
            </w:r>
            <w:r w:rsidRPr="00712FDA">
              <w:rPr>
                <w:rFonts w:ascii="Times New Roman" w:hAnsi="Times New Roman"/>
                <w:lang w:val="en-GB"/>
              </w:rPr>
              <w:t xml:space="preserve">, </w:t>
            </w:r>
            <w:r>
              <w:rPr>
                <w:rFonts w:ascii="Times New Roman" w:hAnsi="Times New Roman"/>
                <w:vertAlign w:val="superscript"/>
                <w:lang w:val="en-GB"/>
              </w:rPr>
              <w:t>63</w:t>
            </w:r>
            <w:r>
              <w:rPr>
                <w:rFonts w:ascii="Times New Roman" w:hAnsi="Times New Roman"/>
                <w:lang w:val="en-GB"/>
              </w:rPr>
              <w:t>Cu</w:t>
            </w:r>
            <w:r w:rsidRPr="00712FDA">
              <w:rPr>
                <w:rFonts w:ascii="Times New Roman" w:hAnsi="Times New Roman"/>
                <w:lang w:val="en-GB"/>
              </w:rPr>
              <w:t xml:space="preserve">, </w:t>
            </w:r>
            <w:r>
              <w:rPr>
                <w:rFonts w:ascii="Times New Roman" w:hAnsi="Times New Roman"/>
                <w:vertAlign w:val="superscript"/>
                <w:lang w:val="en-GB"/>
              </w:rPr>
              <w:t>75</w:t>
            </w:r>
            <w:r>
              <w:rPr>
                <w:rFonts w:ascii="Times New Roman" w:hAnsi="Times New Roman"/>
                <w:lang w:val="en-GB"/>
              </w:rPr>
              <w:t xml:space="preserve">As, </w:t>
            </w:r>
            <w:r>
              <w:rPr>
                <w:rFonts w:ascii="Times New Roman" w:hAnsi="Times New Roman"/>
                <w:vertAlign w:val="superscript"/>
                <w:lang w:val="en-GB"/>
              </w:rPr>
              <w:t>82</w:t>
            </w:r>
            <w:r>
              <w:rPr>
                <w:rFonts w:ascii="Times New Roman" w:hAnsi="Times New Roman"/>
                <w:lang w:val="en-GB"/>
              </w:rPr>
              <w:t>Se</w:t>
            </w:r>
            <w:r w:rsidRPr="00712FDA">
              <w:rPr>
                <w:rFonts w:ascii="Times New Roman" w:hAnsi="Times New Roman"/>
                <w:lang w:val="en-GB"/>
              </w:rPr>
              <w:t xml:space="preserve">, </w:t>
            </w:r>
            <w:r>
              <w:rPr>
                <w:rFonts w:ascii="Times New Roman" w:hAnsi="Times New Roman"/>
                <w:vertAlign w:val="superscript"/>
                <w:lang w:val="en-GB"/>
              </w:rPr>
              <w:t>85</w:t>
            </w:r>
            <w:r>
              <w:rPr>
                <w:rFonts w:ascii="Times New Roman" w:hAnsi="Times New Roman"/>
                <w:lang w:val="en-GB"/>
              </w:rPr>
              <w:t>Rb</w:t>
            </w:r>
            <w:r w:rsidRPr="00712FDA">
              <w:rPr>
                <w:rFonts w:ascii="Times New Roman" w:hAnsi="Times New Roman"/>
                <w:lang w:val="en-GB"/>
              </w:rPr>
              <w:t xml:space="preserve">, </w:t>
            </w:r>
            <w:r>
              <w:rPr>
                <w:rFonts w:ascii="Times New Roman" w:hAnsi="Times New Roman"/>
                <w:vertAlign w:val="superscript"/>
                <w:lang w:val="en-GB"/>
              </w:rPr>
              <w:t>88</w:t>
            </w:r>
            <w:r>
              <w:rPr>
                <w:rFonts w:ascii="Times New Roman" w:hAnsi="Times New Roman"/>
                <w:lang w:val="en-GB"/>
              </w:rPr>
              <w:t>Sr</w:t>
            </w:r>
            <w:r w:rsidRPr="00712FDA">
              <w:rPr>
                <w:rFonts w:ascii="Times New Roman" w:hAnsi="Times New Roman"/>
                <w:lang w:val="en-GB"/>
              </w:rPr>
              <w:t xml:space="preserve">, </w:t>
            </w:r>
            <w:r>
              <w:rPr>
                <w:rFonts w:ascii="Times New Roman" w:hAnsi="Times New Roman"/>
                <w:vertAlign w:val="superscript"/>
                <w:lang w:val="en-GB"/>
              </w:rPr>
              <w:t>89</w:t>
            </w:r>
            <w:r>
              <w:rPr>
                <w:rFonts w:ascii="Times New Roman" w:hAnsi="Times New Roman"/>
                <w:lang w:val="en-GB"/>
              </w:rPr>
              <w:t>Y</w:t>
            </w:r>
            <w:r w:rsidRPr="00712FDA">
              <w:rPr>
                <w:rFonts w:ascii="Times New Roman" w:hAnsi="Times New Roman"/>
                <w:lang w:val="en-GB"/>
              </w:rPr>
              <w:t xml:space="preserve">, </w:t>
            </w:r>
            <w:r>
              <w:rPr>
                <w:rFonts w:ascii="Times New Roman" w:hAnsi="Times New Roman"/>
                <w:vertAlign w:val="superscript"/>
                <w:lang w:val="en-GB"/>
              </w:rPr>
              <w:t>90</w:t>
            </w:r>
            <w:r>
              <w:rPr>
                <w:rFonts w:ascii="Times New Roman" w:hAnsi="Times New Roman"/>
                <w:lang w:val="en-GB"/>
              </w:rPr>
              <w:t>Zr</w:t>
            </w:r>
            <w:r w:rsidRPr="00712FDA">
              <w:rPr>
                <w:rFonts w:ascii="Times New Roman" w:hAnsi="Times New Roman"/>
                <w:lang w:val="en-GB"/>
              </w:rPr>
              <w:t xml:space="preserve">, </w:t>
            </w:r>
            <w:r>
              <w:rPr>
                <w:rFonts w:ascii="Times New Roman" w:hAnsi="Times New Roman"/>
                <w:vertAlign w:val="superscript"/>
                <w:lang w:val="en-GB"/>
              </w:rPr>
              <w:t>93</w:t>
            </w:r>
            <w:r>
              <w:rPr>
                <w:rFonts w:ascii="Times New Roman" w:hAnsi="Times New Roman"/>
                <w:lang w:val="en-GB"/>
              </w:rPr>
              <w:t>Nb</w:t>
            </w:r>
            <w:r w:rsidRPr="00712FDA">
              <w:rPr>
                <w:rFonts w:ascii="Times New Roman" w:hAnsi="Times New Roman"/>
                <w:lang w:val="en-GB"/>
              </w:rPr>
              <w:t xml:space="preserve">, </w:t>
            </w:r>
            <w:r>
              <w:rPr>
                <w:rFonts w:ascii="Times New Roman" w:hAnsi="Times New Roman"/>
                <w:vertAlign w:val="superscript"/>
                <w:lang w:val="en-GB"/>
              </w:rPr>
              <w:t>137</w:t>
            </w:r>
            <w:r>
              <w:rPr>
                <w:rFonts w:ascii="Times New Roman" w:hAnsi="Times New Roman"/>
                <w:lang w:val="en-GB"/>
              </w:rPr>
              <w:t>Ba,</w:t>
            </w:r>
            <w:r w:rsidRPr="00712FDA">
              <w:rPr>
                <w:rFonts w:ascii="Times New Roman" w:hAnsi="Times New Roman"/>
                <w:vertAlign w:val="superscript"/>
                <w:lang w:val="en-GB"/>
              </w:rPr>
              <w:t xml:space="preserve"> </w:t>
            </w:r>
            <w:r>
              <w:rPr>
                <w:rFonts w:ascii="Times New Roman" w:hAnsi="Times New Roman"/>
                <w:vertAlign w:val="superscript"/>
                <w:lang w:val="en-GB"/>
              </w:rPr>
              <w:t>139</w:t>
            </w:r>
            <w:r>
              <w:rPr>
                <w:rFonts w:ascii="Times New Roman" w:hAnsi="Times New Roman"/>
                <w:lang w:val="en-GB"/>
              </w:rPr>
              <w:t>La</w:t>
            </w:r>
            <w:r w:rsidRPr="00712FDA">
              <w:rPr>
                <w:rFonts w:ascii="Times New Roman" w:hAnsi="Times New Roman"/>
                <w:lang w:val="en-GB"/>
              </w:rPr>
              <w:t xml:space="preserve">, </w:t>
            </w:r>
            <w:r>
              <w:rPr>
                <w:rFonts w:ascii="Times New Roman" w:hAnsi="Times New Roman"/>
                <w:vertAlign w:val="superscript"/>
                <w:lang w:val="en-GB"/>
              </w:rPr>
              <w:t>140</w:t>
            </w:r>
            <w:r>
              <w:rPr>
                <w:rFonts w:ascii="Times New Roman" w:hAnsi="Times New Roman"/>
                <w:lang w:val="en-GB"/>
              </w:rPr>
              <w:t>Ce</w:t>
            </w:r>
            <w:r w:rsidRPr="00712FDA">
              <w:rPr>
                <w:rFonts w:ascii="Times New Roman" w:hAnsi="Times New Roman"/>
                <w:lang w:val="en-GB"/>
              </w:rPr>
              <w:t xml:space="preserve">, </w:t>
            </w:r>
            <w:r>
              <w:rPr>
                <w:rFonts w:ascii="Times New Roman" w:hAnsi="Times New Roman"/>
                <w:vertAlign w:val="superscript"/>
                <w:lang w:val="en-GB"/>
              </w:rPr>
              <w:t>141</w:t>
            </w:r>
            <w:r w:rsidRPr="00712FDA">
              <w:rPr>
                <w:rFonts w:ascii="Times New Roman" w:hAnsi="Times New Roman"/>
                <w:lang w:val="en-GB"/>
              </w:rPr>
              <w:t>P</w:t>
            </w:r>
            <w:r>
              <w:rPr>
                <w:rFonts w:ascii="Times New Roman" w:hAnsi="Times New Roman"/>
                <w:lang w:val="en-GB"/>
              </w:rPr>
              <w:t>r</w:t>
            </w:r>
            <w:r w:rsidRPr="00712FDA">
              <w:rPr>
                <w:rFonts w:ascii="Times New Roman" w:hAnsi="Times New Roman"/>
                <w:lang w:val="en-GB"/>
              </w:rPr>
              <w:t xml:space="preserve">, </w:t>
            </w:r>
            <w:r>
              <w:rPr>
                <w:rFonts w:ascii="Times New Roman" w:hAnsi="Times New Roman"/>
                <w:vertAlign w:val="superscript"/>
                <w:lang w:val="en-GB"/>
              </w:rPr>
              <w:t>14</w:t>
            </w:r>
            <w:r w:rsidRPr="00712FDA">
              <w:rPr>
                <w:rFonts w:ascii="Times New Roman" w:hAnsi="Times New Roman"/>
                <w:vertAlign w:val="superscript"/>
                <w:lang w:val="en-GB"/>
              </w:rPr>
              <w:t>6</w:t>
            </w:r>
            <w:r>
              <w:rPr>
                <w:rFonts w:ascii="Times New Roman" w:hAnsi="Times New Roman"/>
                <w:lang w:val="en-GB"/>
              </w:rPr>
              <w:t>Nd</w:t>
            </w:r>
            <w:r w:rsidRPr="00712FDA">
              <w:rPr>
                <w:rFonts w:ascii="Times New Roman" w:hAnsi="Times New Roman"/>
                <w:lang w:val="en-GB"/>
              </w:rPr>
              <w:t xml:space="preserve">, </w:t>
            </w:r>
            <w:r>
              <w:rPr>
                <w:rFonts w:ascii="Times New Roman" w:hAnsi="Times New Roman"/>
                <w:vertAlign w:val="superscript"/>
                <w:lang w:val="en-GB"/>
              </w:rPr>
              <w:t>147</w:t>
            </w:r>
            <w:r>
              <w:rPr>
                <w:rFonts w:ascii="Times New Roman" w:hAnsi="Times New Roman"/>
                <w:lang w:val="en-GB"/>
              </w:rPr>
              <w:t>Sm</w:t>
            </w:r>
            <w:r w:rsidRPr="00712FDA">
              <w:rPr>
                <w:rFonts w:ascii="Times New Roman" w:hAnsi="Times New Roman"/>
                <w:lang w:val="en-GB"/>
              </w:rPr>
              <w:t xml:space="preserve">, </w:t>
            </w:r>
            <w:r>
              <w:rPr>
                <w:rFonts w:ascii="Times New Roman" w:hAnsi="Times New Roman"/>
                <w:vertAlign w:val="superscript"/>
                <w:lang w:val="en-GB"/>
              </w:rPr>
              <w:t>153</w:t>
            </w:r>
            <w:r>
              <w:rPr>
                <w:rFonts w:ascii="Times New Roman" w:hAnsi="Times New Roman"/>
                <w:lang w:val="en-GB"/>
              </w:rPr>
              <w:t>Eu</w:t>
            </w:r>
            <w:r w:rsidRPr="00712FDA">
              <w:rPr>
                <w:rFonts w:ascii="Times New Roman" w:hAnsi="Times New Roman"/>
                <w:lang w:val="en-GB"/>
              </w:rPr>
              <w:t xml:space="preserve">, </w:t>
            </w:r>
            <w:r>
              <w:rPr>
                <w:rFonts w:ascii="Times New Roman" w:hAnsi="Times New Roman"/>
                <w:vertAlign w:val="superscript"/>
                <w:lang w:val="en-GB"/>
              </w:rPr>
              <w:t>157</w:t>
            </w:r>
            <w:r>
              <w:rPr>
                <w:rFonts w:ascii="Times New Roman" w:hAnsi="Times New Roman"/>
                <w:lang w:val="en-GB"/>
              </w:rPr>
              <w:t>Gd,</w:t>
            </w:r>
            <w:r w:rsidRPr="00712FDA">
              <w:rPr>
                <w:rFonts w:ascii="Times New Roman" w:hAnsi="Times New Roman"/>
                <w:vertAlign w:val="superscript"/>
                <w:lang w:val="en-GB"/>
              </w:rPr>
              <w:t xml:space="preserve"> </w:t>
            </w:r>
            <w:r>
              <w:rPr>
                <w:rFonts w:ascii="Times New Roman" w:hAnsi="Times New Roman"/>
                <w:vertAlign w:val="superscript"/>
                <w:lang w:val="en-GB"/>
              </w:rPr>
              <w:t>159</w:t>
            </w:r>
            <w:r w:rsidRPr="00712FDA">
              <w:rPr>
                <w:rFonts w:ascii="Times New Roman" w:hAnsi="Times New Roman"/>
                <w:lang w:val="en-GB"/>
              </w:rPr>
              <w:t>T</w:t>
            </w:r>
            <w:r>
              <w:rPr>
                <w:rFonts w:ascii="Times New Roman" w:hAnsi="Times New Roman"/>
                <w:lang w:val="en-GB"/>
              </w:rPr>
              <w:t>b</w:t>
            </w:r>
            <w:r w:rsidRPr="00712FDA">
              <w:rPr>
                <w:rFonts w:ascii="Times New Roman" w:hAnsi="Times New Roman"/>
                <w:lang w:val="en-GB"/>
              </w:rPr>
              <w:t xml:space="preserve">, </w:t>
            </w:r>
            <w:r>
              <w:rPr>
                <w:rFonts w:ascii="Times New Roman" w:hAnsi="Times New Roman"/>
                <w:vertAlign w:val="superscript"/>
                <w:lang w:val="en-GB"/>
              </w:rPr>
              <w:t>163</w:t>
            </w:r>
            <w:r>
              <w:rPr>
                <w:rFonts w:ascii="Times New Roman" w:hAnsi="Times New Roman"/>
                <w:lang w:val="en-GB"/>
              </w:rPr>
              <w:t>Dy</w:t>
            </w:r>
            <w:r w:rsidRPr="00712FDA">
              <w:rPr>
                <w:rFonts w:ascii="Times New Roman" w:hAnsi="Times New Roman"/>
                <w:lang w:val="en-GB"/>
              </w:rPr>
              <w:t xml:space="preserve">, </w:t>
            </w:r>
            <w:r>
              <w:rPr>
                <w:rFonts w:ascii="Times New Roman" w:hAnsi="Times New Roman"/>
                <w:vertAlign w:val="superscript"/>
                <w:lang w:val="en-GB"/>
              </w:rPr>
              <w:t>165</w:t>
            </w:r>
            <w:r>
              <w:rPr>
                <w:rFonts w:ascii="Times New Roman" w:hAnsi="Times New Roman"/>
                <w:lang w:val="en-GB"/>
              </w:rPr>
              <w:t>Ho</w:t>
            </w:r>
            <w:r w:rsidRPr="00712FDA">
              <w:rPr>
                <w:rFonts w:ascii="Times New Roman" w:hAnsi="Times New Roman"/>
                <w:lang w:val="en-GB"/>
              </w:rPr>
              <w:t xml:space="preserve">, </w:t>
            </w:r>
            <w:r>
              <w:rPr>
                <w:rFonts w:ascii="Times New Roman" w:hAnsi="Times New Roman"/>
                <w:vertAlign w:val="superscript"/>
                <w:lang w:val="en-GB"/>
              </w:rPr>
              <w:t>16</w:t>
            </w:r>
            <w:r w:rsidRPr="00712FDA">
              <w:rPr>
                <w:rFonts w:ascii="Times New Roman" w:hAnsi="Times New Roman"/>
                <w:vertAlign w:val="superscript"/>
                <w:lang w:val="en-GB"/>
              </w:rPr>
              <w:t>6</w:t>
            </w:r>
            <w:r>
              <w:rPr>
                <w:rFonts w:ascii="Times New Roman" w:hAnsi="Times New Roman"/>
                <w:lang w:val="en-GB"/>
              </w:rPr>
              <w:t>Er</w:t>
            </w:r>
            <w:r w:rsidRPr="00712FDA">
              <w:rPr>
                <w:rFonts w:ascii="Times New Roman" w:hAnsi="Times New Roman"/>
                <w:lang w:val="en-GB"/>
              </w:rPr>
              <w:t xml:space="preserve">, </w:t>
            </w:r>
            <w:r>
              <w:rPr>
                <w:rFonts w:ascii="Times New Roman" w:hAnsi="Times New Roman"/>
                <w:vertAlign w:val="superscript"/>
                <w:lang w:val="en-GB"/>
              </w:rPr>
              <w:t>169</w:t>
            </w:r>
            <w:r>
              <w:rPr>
                <w:rFonts w:ascii="Times New Roman" w:hAnsi="Times New Roman"/>
                <w:lang w:val="en-GB"/>
              </w:rPr>
              <w:t>Tm</w:t>
            </w:r>
            <w:r w:rsidRPr="00712FDA">
              <w:rPr>
                <w:rFonts w:ascii="Times New Roman" w:hAnsi="Times New Roman"/>
                <w:lang w:val="en-GB"/>
              </w:rPr>
              <w:t xml:space="preserve">, </w:t>
            </w:r>
            <w:r>
              <w:rPr>
                <w:rFonts w:ascii="Times New Roman" w:hAnsi="Times New Roman"/>
                <w:vertAlign w:val="superscript"/>
                <w:lang w:val="en-GB"/>
              </w:rPr>
              <w:t>17</w:t>
            </w:r>
            <w:r w:rsidRPr="00712FDA">
              <w:rPr>
                <w:rFonts w:ascii="Times New Roman" w:hAnsi="Times New Roman"/>
                <w:vertAlign w:val="superscript"/>
                <w:lang w:val="en-GB"/>
              </w:rPr>
              <w:t>2</w:t>
            </w:r>
            <w:r>
              <w:rPr>
                <w:rFonts w:ascii="Times New Roman" w:hAnsi="Times New Roman"/>
                <w:lang w:val="en-GB"/>
              </w:rPr>
              <w:t>Yb</w:t>
            </w:r>
            <w:r w:rsidRPr="00712FDA">
              <w:rPr>
                <w:rFonts w:ascii="Times New Roman" w:hAnsi="Times New Roman"/>
                <w:lang w:val="en-GB"/>
              </w:rPr>
              <w:t xml:space="preserve">, </w:t>
            </w:r>
            <w:r>
              <w:rPr>
                <w:rFonts w:ascii="Times New Roman" w:hAnsi="Times New Roman"/>
                <w:vertAlign w:val="superscript"/>
                <w:lang w:val="en-GB"/>
              </w:rPr>
              <w:t>175</w:t>
            </w:r>
            <w:r>
              <w:rPr>
                <w:rFonts w:ascii="Times New Roman" w:hAnsi="Times New Roman"/>
                <w:lang w:val="en-GB"/>
              </w:rPr>
              <w:t>Lu,</w:t>
            </w:r>
            <w:r w:rsidRPr="00712FDA">
              <w:rPr>
                <w:rFonts w:ascii="Times New Roman" w:hAnsi="Times New Roman"/>
                <w:lang w:val="en-GB"/>
              </w:rPr>
              <w:t xml:space="preserve"> </w:t>
            </w:r>
            <w:r w:rsidRPr="00712FDA">
              <w:rPr>
                <w:rFonts w:ascii="Times New Roman" w:hAnsi="Times New Roman"/>
                <w:vertAlign w:val="superscript"/>
                <w:lang w:val="en-GB"/>
              </w:rPr>
              <w:t>208</w:t>
            </w:r>
            <w:r w:rsidRPr="00712FDA">
              <w:rPr>
                <w:rFonts w:ascii="Times New Roman" w:hAnsi="Times New Roman"/>
                <w:lang w:val="en-GB"/>
              </w:rPr>
              <w:t xml:space="preserve">Pb, </w:t>
            </w:r>
            <w:r w:rsidRPr="00712FDA">
              <w:rPr>
                <w:rFonts w:ascii="Times New Roman" w:hAnsi="Times New Roman"/>
                <w:vertAlign w:val="superscript"/>
                <w:lang w:val="en-GB"/>
              </w:rPr>
              <w:t>2</w:t>
            </w:r>
            <w:r>
              <w:rPr>
                <w:rFonts w:ascii="Times New Roman" w:hAnsi="Times New Roman"/>
                <w:vertAlign w:val="superscript"/>
                <w:lang w:val="en-GB"/>
              </w:rPr>
              <w:t>32</w:t>
            </w:r>
            <w:r>
              <w:rPr>
                <w:rFonts w:ascii="Times New Roman" w:hAnsi="Times New Roman"/>
                <w:lang w:val="en-GB"/>
              </w:rPr>
              <w:t>Th</w:t>
            </w:r>
            <w:r w:rsidRPr="00712FDA">
              <w:rPr>
                <w:rFonts w:ascii="Times New Roman" w:hAnsi="Times New Roman"/>
                <w:lang w:val="en-GB"/>
              </w:rPr>
              <w:t xml:space="preserve">, </w:t>
            </w:r>
            <w:r w:rsidRPr="00712FDA">
              <w:rPr>
                <w:rFonts w:ascii="Times New Roman" w:hAnsi="Times New Roman"/>
                <w:vertAlign w:val="superscript"/>
                <w:lang w:val="en-GB"/>
              </w:rPr>
              <w:t>2</w:t>
            </w:r>
            <w:r>
              <w:rPr>
                <w:rFonts w:ascii="Times New Roman" w:hAnsi="Times New Roman"/>
                <w:vertAlign w:val="superscript"/>
                <w:lang w:val="en-GB"/>
              </w:rPr>
              <w:t>38</w:t>
            </w:r>
            <w:r>
              <w:rPr>
                <w:rFonts w:ascii="Times New Roman" w:hAnsi="Times New Roman"/>
                <w:lang w:val="en-GB"/>
              </w:rPr>
              <w:t>U</w:t>
            </w:r>
          </w:p>
        </w:tc>
      </w:tr>
      <w:tr w:rsidR="00E55926" w:rsidRPr="00712FDA" w:rsidTr="00AA05EA">
        <w:tc>
          <w:tcPr>
            <w:tcW w:w="3539" w:type="dxa"/>
            <w:shd w:val="clear" w:color="auto" w:fill="auto"/>
          </w:tcPr>
          <w:p w:rsidR="00E55926" w:rsidRPr="006B00B8" w:rsidRDefault="00E55926" w:rsidP="00AA05EA">
            <w:pPr>
              <w:rPr>
                <w:rFonts w:ascii="Times New Roman" w:hAnsi="Times New Roman"/>
              </w:rPr>
            </w:pPr>
            <w:r>
              <w:rPr>
                <w:rFonts w:ascii="Times New Roman" w:hAnsi="Times New Roman"/>
              </w:rPr>
              <w:t>Detector mode</w:t>
            </w:r>
          </w:p>
        </w:tc>
        <w:tc>
          <w:tcPr>
            <w:tcW w:w="5477" w:type="dxa"/>
            <w:shd w:val="clear" w:color="auto" w:fill="auto"/>
          </w:tcPr>
          <w:p w:rsidR="00E55926" w:rsidRPr="00712FDA" w:rsidRDefault="00E55926" w:rsidP="00AA05EA">
            <w:pPr>
              <w:rPr>
                <w:rFonts w:ascii="Times New Roman" w:hAnsi="Times New Roman"/>
                <w:lang w:val="en-GB"/>
              </w:rPr>
            </w:pPr>
            <w:r>
              <w:rPr>
                <w:rFonts w:ascii="Times New Roman" w:hAnsi="Times New Roman"/>
                <w:lang w:val="en-GB"/>
              </w:rPr>
              <w:t>C</w:t>
            </w:r>
            <w:r w:rsidRPr="00712FDA">
              <w:rPr>
                <w:rFonts w:ascii="Times New Roman" w:hAnsi="Times New Roman"/>
                <w:lang w:val="en-GB"/>
              </w:rPr>
              <w:t>ounting or analogue respective to count rate</w:t>
            </w:r>
          </w:p>
        </w:tc>
      </w:tr>
      <w:tr w:rsidR="00E55926" w:rsidRPr="00712FDA" w:rsidTr="00AA05EA">
        <w:tc>
          <w:tcPr>
            <w:tcW w:w="3539" w:type="dxa"/>
            <w:shd w:val="clear" w:color="auto" w:fill="auto"/>
          </w:tcPr>
          <w:p w:rsidR="00E55926" w:rsidRPr="006B00B8" w:rsidRDefault="00E55926" w:rsidP="00AA05EA">
            <w:pPr>
              <w:rPr>
                <w:rFonts w:ascii="Times New Roman" w:hAnsi="Times New Roman"/>
              </w:rPr>
            </w:pPr>
            <w:r>
              <w:rPr>
                <w:rFonts w:ascii="Times New Roman" w:hAnsi="Times New Roman"/>
              </w:rPr>
              <w:t>Cycle time</w:t>
            </w:r>
          </w:p>
        </w:tc>
        <w:tc>
          <w:tcPr>
            <w:tcW w:w="5477" w:type="dxa"/>
            <w:shd w:val="clear" w:color="auto" w:fill="auto"/>
          </w:tcPr>
          <w:p w:rsidR="00E55926" w:rsidRPr="00712FDA" w:rsidRDefault="00E55926" w:rsidP="00AA05EA">
            <w:pPr>
              <w:rPr>
                <w:rFonts w:ascii="Times New Roman" w:hAnsi="Times New Roman"/>
                <w:lang w:val="en-GB"/>
              </w:rPr>
            </w:pPr>
            <w:r w:rsidRPr="00712FDA">
              <w:rPr>
                <w:rFonts w:ascii="Times New Roman" w:hAnsi="Times New Roman"/>
                <w:lang w:val="en-GB"/>
              </w:rPr>
              <w:t>310ms</w:t>
            </w:r>
          </w:p>
        </w:tc>
      </w:tr>
      <w:tr w:rsidR="00E55926" w:rsidRPr="00712FDA" w:rsidTr="00AA05EA">
        <w:tc>
          <w:tcPr>
            <w:tcW w:w="3539" w:type="dxa"/>
            <w:shd w:val="clear" w:color="auto" w:fill="auto"/>
          </w:tcPr>
          <w:p w:rsidR="00E55926" w:rsidRDefault="00E55926" w:rsidP="00AA05EA">
            <w:pPr>
              <w:rPr>
                <w:rFonts w:ascii="Times New Roman" w:hAnsi="Times New Roman"/>
              </w:rPr>
            </w:pPr>
            <w:r>
              <w:rPr>
                <w:rFonts w:ascii="Times New Roman" w:hAnsi="Times New Roman"/>
              </w:rPr>
              <w:t>Other notes</w:t>
            </w:r>
          </w:p>
        </w:tc>
        <w:tc>
          <w:tcPr>
            <w:tcW w:w="5477" w:type="dxa"/>
            <w:shd w:val="clear" w:color="auto" w:fill="auto"/>
          </w:tcPr>
          <w:p w:rsidR="00E55926" w:rsidRPr="00712FDA" w:rsidRDefault="00E55926" w:rsidP="00AA05EA">
            <w:pPr>
              <w:rPr>
                <w:rFonts w:ascii="Times New Roman" w:hAnsi="Times New Roman"/>
                <w:lang w:val="en-GB"/>
              </w:rPr>
            </w:pPr>
            <w:r w:rsidRPr="00712FDA">
              <w:rPr>
                <w:rFonts w:ascii="Times New Roman" w:hAnsi="Times New Roman"/>
                <w:lang w:val="en-GB"/>
              </w:rPr>
              <w:t xml:space="preserve">Quartz injector, Ni X skimmer &amp; Jet sample cones, tuned for </w:t>
            </w:r>
            <w:proofErr w:type="spellStart"/>
            <w:r w:rsidRPr="00712FDA">
              <w:rPr>
                <w:rFonts w:ascii="Times New Roman" w:hAnsi="Times New Roman"/>
                <w:lang w:val="en-GB"/>
              </w:rPr>
              <w:t>ThO</w:t>
            </w:r>
            <w:proofErr w:type="spellEnd"/>
            <w:r w:rsidRPr="00712FDA">
              <w:rPr>
                <w:rFonts w:ascii="Times New Roman" w:hAnsi="Times New Roman"/>
                <w:vertAlign w:val="superscript"/>
                <w:lang w:val="en-GB"/>
              </w:rPr>
              <w:t>+</w:t>
            </w:r>
            <w:r w:rsidRPr="00712FDA">
              <w:rPr>
                <w:rFonts w:ascii="Times New Roman" w:hAnsi="Times New Roman"/>
                <w:lang w:val="en-GB"/>
              </w:rPr>
              <w:t>/</w:t>
            </w:r>
            <w:proofErr w:type="spellStart"/>
            <w:r w:rsidRPr="00712FDA">
              <w:rPr>
                <w:rFonts w:ascii="Times New Roman" w:hAnsi="Times New Roman"/>
                <w:lang w:val="en-GB"/>
              </w:rPr>
              <w:t>Th</w:t>
            </w:r>
            <w:proofErr w:type="spellEnd"/>
            <w:r w:rsidRPr="00712FDA">
              <w:rPr>
                <w:rFonts w:ascii="Times New Roman" w:hAnsi="Times New Roman"/>
                <w:vertAlign w:val="superscript"/>
                <w:lang w:val="en-GB"/>
              </w:rPr>
              <w:t>+</w:t>
            </w:r>
            <w:r w:rsidRPr="00712FDA">
              <w:rPr>
                <w:rFonts w:ascii="Times New Roman" w:hAnsi="Times New Roman"/>
                <w:lang w:val="en-GB"/>
              </w:rPr>
              <w:t xml:space="preserve"> &lt;0.3%; </w:t>
            </w:r>
            <w:proofErr w:type="spellStart"/>
            <w:r w:rsidRPr="00712FDA">
              <w:rPr>
                <w:rFonts w:ascii="Times New Roman" w:hAnsi="Times New Roman"/>
                <w:lang w:val="en-GB"/>
              </w:rPr>
              <w:t>Th</w:t>
            </w:r>
            <w:proofErr w:type="spellEnd"/>
            <w:r w:rsidRPr="00712FDA">
              <w:rPr>
                <w:rFonts w:ascii="Times New Roman" w:hAnsi="Times New Roman"/>
                <w:lang w:val="en-GB"/>
              </w:rPr>
              <w:t>/U ~1</w:t>
            </w:r>
          </w:p>
        </w:tc>
      </w:tr>
      <w:tr w:rsidR="00E55926" w:rsidRPr="00712FDA" w:rsidTr="00AA05EA">
        <w:tc>
          <w:tcPr>
            <w:tcW w:w="3539" w:type="dxa"/>
            <w:shd w:val="clear" w:color="auto" w:fill="auto"/>
          </w:tcPr>
          <w:p w:rsidR="00E55926" w:rsidRDefault="00E55926" w:rsidP="00AA05EA">
            <w:pPr>
              <w:rPr>
                <w:rFonts w:ascii="Times New Roman" w:hAnsi="Times New Roman"/>
              </w:rPr>
            </w:pPr>
          </w:p>
        </w:tc>
        <w:tc>
          <w:tcPr>
            <w:tcW w:w="5477" w:type="dxa"/>
            <w:shd w:val="clear" w:color="auto" w:fill="auto"/>
          </w:tcPr>
          <w:p w:rsidR="00E55926" w:rsidRPr="00712FDA" w:rsidRDefault="00E55926" w:rsidP="00AA05EA">
            <w:pPr>
              <w:rPr>
                <w:rFonts w:ascii="Times New Roman" w:hAnsi="Times New Roman"/>
                <w:lang w:val="en-GB"/>
              </w:rPr>
            </w:pPr>
          </w:p>
        </w:tc>
      </w:tr>
      <w:tr w:rsidR="00E55926" w:rsidRPr="00712FDA" w:rsidTr="00AA05EA">
        <w:tc>
          <w:tcPr>
            <w:tcW w:w="3539" w:type="dxa"/>
            <w:shd w:val="clear" w:color="auto" w:fill="auto"/>
          </w:tcPr>
          <w:p w:rsidR="00E55926" w:rsidRDefault="00E55926" w:rsidP="00AA05EA">
            <w:pPr>
              <w:rPr>
                <w:rFonts w:ascii="Times New Roman" w:hAnsi="Times New Roman"/>
                <w:b/>
                <w:lang w:val="en-AU"/>
              </w:rPr>
            </w:pPr>
            <w:r>
              <w:rPr>
                <w:rFonts w:ascii="Times New Roman" w:hAnsi="Times New Roman"/>
                <w:b/>
                <w:lang w:val="en-AU"/>
              </w:rPr>
              <w:t xml:space="preserve">Photon machines* </w:t>
            </w:r>
          </w:p>
          <w:p w:rsidR="00E55926" w:rsidRPr="006B00B8" w:rsidRDefault="00E55926" w:rsidP="00AA05EA">
            <w:pPr>
              <w:rPr>
                <w:rFonts w:ascii="Times New Roman" w:hAnsi="Times New Roman"/>
                <w:lang w:val="en-AU"/>
              </w:rPr>
            </w:pPr>
            <w:proofErr w:type="spellStart"/>
            <w:r>
              <w:rPr>
                <w:rFonts w:ascii="Times New Roman" w:hAnsi="Times New Roman"/>
                <w:b/>
                <w:lang w:val="en-AU"/>
              </w:rPr>
              <w:t>Analyte</w:t>
            </w:r>
            <w:proofErr w:type="spellEnd"/>
            <w:r>
              <w:rPr>
                <w:rFonts w:ascii="Times New Roman" w:hAnsi="Times New Roman"/>
                <w:b/>
                <w:lang w:val="en-AU"/>
              </w:rPr>
              <w:t xml:space="preserve"> G2 excimer laser</w:t>
            </w:r>
          </w:p>
        </w:tc>
        <w:tc>
          <w:tcPr>
            <w:tcW w:w="5477" w:type="dxa"/>
            <w:shd w:val="clear" w:color="auto" w:fill="auto"/>
          </w:tcPr>
          <w:p w:rsidR="00E55926" w:rsidRPr="00712FDA" w:rsidRDefault="00E55926" w:rsidP="00AA05EA">
            <w:pPr>
              <w:jc w:val="both"/>
              <w:rPr>
                <w:rFonts w:ascii="Times New Roman" w:hAnsi="Times New Roman"/>
                <w:lang w:val="en-AU"/>
              </w:rPr>
            </w:pPr>
          </w:p>
          <w:p w:rsidR="00E55926" w:rsidRPr="00712FDA" w:rsidRDefault="00E55926" w:rsidP="00AA05EA">
            <w:pPr>
              <w:jc w:val="both"/>
              <w:rPr>
                <w:rFonts w:ascii="Times New Roman" w:hAnsi="Times New Roman"/>
                <w:lang w:val="en-AU"/>
              </w:rPr>
            </w:pPr>
            <w:r w:rsidRPr="00712FDA">
              <w:rPr>
                <w:rFonts w:ascii="Times New Roman" w:hAnsi="Times New Roman"/>
                <w:lang w:val="en-AU"/>
              </w:rPr>
              <w:t xml:space="preserve">*now Teledyne </w:t>
            </w:r>
            <w:proofErr w:type="spellStart"/>
            <w:r w:rsidRPr="00712FDA">
              <w:rPr>
                <w:rFonts w:ascii="Times New Roman" w:hAnsi="Times New Roman"/>
                <w:lang w:val="en-AU"/>
              </w:rPr>
              <w:t>Cetac</w:t>
            </w:r>
            <w:proofErr w:type="spellEnd"/>
            <w:r w:rsidRPr="00712FDA">
              <w:rPr>
                <w:rFonts w:ascii="Times New Roman" w:hAnsi="Times New Roman"/>
                <w:lang w:val="en-AU"/>
              </w:rPr>
              <w:t>, Omaha, USA</w:t>
            </w:r>
          </w:p>
        </w:tc>
      </w:tr>
      <w:tr w:rsidR="00E55926" w:rsidRPr="00712FDA" w:rsidTr="00AA05EA">
        <w:tc>
          <w:tcPr>
            <w:tcW w:w="3539" w:type="dxa"/>
            <w:shd w:val="clear" w:color="auto" w:fill="auto"/>
          </w:tcPr>
          <w:p w:rsidR="00E55926" w:rsidRPr="0047033D" w:rsidRDefault="00E55926" w:rsidP="00AA05EA">
            <w:pPr>
              <w:rPr>
                <w:rFonts w:ascii="Times New Roman" w:hAnsi="Times New Roman"/>
                <w:bCs/>
                <w:lang w:val="en-AU"/>
              </w:rPr>
            </w:pPr>
            <w:r w:rsidRPr="0047033D">
              <w:rPr>
                <w:rFonts w:ascii="Times New Roman" w:hAnsi="Times New Roman"/>
                <w:bCs/>
                <w:lang w:val="en-AU"/>
              </w:rPr>
              <w:t>Spot diameter</w:t>
            </w:r>
          </w:p>
        </w:tc>
        <w:tc>
          <w:tcPr>
            <w:tcW w:w="5477" w:type="dxa"/>
            <w:shd w:val="clear" w:color="auto" w:fill="auto"/>
          </w:tcPr>
          <w:p w:rsidR="00E55926" w:rsidRPr="00712FDA" w:rsidRDefault="00E55926" w:rsidP="00AA05EA">
            <w:pPr>
              <w:rPr>
                <w:rFonts w:ascii="Times New Roman" w:hAnsi="Times New Roman"/>
                <w:lang w:val="en-AU"/>
              </w:rPr>
            </w:pPr>
            <w:r>
              <w:rPr>
                <w:rFonts w:ascii="Times New Roman" w:hAnsi="Times New Roman"/>
                <w:lang w:val="en-AU"/>
              </w:rPr>
              <w:t>3</w:t>
            </w:r>
            <w:r w:rsidRPr="00712FDA">
              <w:rPr>
                <w:rFonts w:ascii="Times New Roman" w:hAnsi="Times New Roman"/>
                <w:lang w:val="en-AU"/>
              </w:rPr>
              <w:t>5µm circle</w:t>
            </w:r>
          </w:p>
        </w:tc>
      </w:tr>
      <w:tr w:rsidR="00E55926" w:rsidRPr="00712FDA"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Laser</w:t>
            </w:r>
            <w:r>
              <w:rPr>
                <w:rFonts w:ascii="Times New Roman" w:hAnsi="Times New Roman"/>
                <w:lang w:val="en-AU"/>
              </w:rPr>
              <w:t xml:space="preserve"> source</w:t>
            </w:r>
          </w:p>
        </w:tc>
        <w:tc>
          <w:tcPr>
            <w:tcW w:w="5477" w:type="dxa"/>
            <w:shd w:val="clear" w:color="auto" w:fill="auto"/>
          </w:tcPr>
          <w:p w:rsidR="00E55926" w:rsidRPr="00712FDA" w:rsidRDefault="00E55926" w:rsidP="00AA05EA">
            <w:pPr>
              <w:rPr>
                <w:rFonts w:ascii="Times New Roman" w:hAnsi="Times New Roman"/>
                <w:lang w:val="en-AU"/>
              </w:rPr>
            </w:pPr>
            <w:r w:rsidRPr="00712FDA">
              <w:rPr>
                <w:rFonts w:ascii="Times New Roman" w:hAnsi="Times New Roman"/>
                <w:lang w:val="en-AU"/>
              </w:rPr>
              <w:t xml:space="preserve">ATLEX-LR-I (193nm </w:t>
            </w:r>
            <w:proofErr w:type="spellStart"/>
            <w:r w:rsidRPr="00712FDA">
              <w:rPr>
                <w:rFonts w:ascii="Times New Roman" w:hAnsi="Times New Roman"/>
                <w:lang w:val="en-AU"/>
              </w:rPr>
              <w:t>ArF</w:t>
            </w:r>
            <w:proofErr w:type="spellEnd"/>
            <w:r w:rsidRPr="00712FDA">
              <w:rPr>
                <w:rFonts w:ascii="Times New Roman" w:hAnsi="Times New Roman"/>
                <w:lang w:val="en-AU"/>
              </w:rPr>
              <w:t xml:space="preserve"> Excimer; ~4 ns pulse width)</w:t>
            </w:r>
          </w:p>
        </w:tc>
      </w:tr>
      <w:tr w:rsidR="00E55926" w:rsidRPr="00712FDA"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Cell</w:t>
            </w:r>
          </w:p>
        </w:tc>
        <w:tc>
          <w:tcPr>
            <w:tcW w:w="5477" w:type="dxa"/>
            <w:shd w:val="clear" w:color="auto" w:fill="auto"/>
          </w:tcPr>
          <w:p w:rsidR="00E55926" w:rsidRPr="00712FDA" w:rsidRDefault="00E55926" w:rsidP="00AA05EA">
            <w:pPr>
              <w:rPr>
                <w:rFonts w:ascii="Times New Roman" w:hAnsi="Times New Roman"/>
                <w:lang w:val="en-AU"/>
              </w:rPr>
            </w:pPr>
            <w:proofErr w:type="spellStart"/>
            <w:r w:rsidRPr="00712FDA">
              <w:rPr>
                <w:rFonts w:ascii="Times New Roman" w:hAnsi="Times New Roman"/>
                <w:lang w:val="en-AU"/>
              </w:rPr>
              <w:t>HelEx</w:t>
            </w:r>
            <w:proofErr w:type="spellEnd"/>
            <w:r w:rsidRPr="00712FDA">
              <w:rPr>
                <w:rFonts w:ascii="Times New Roman" w:hAnsi="Times New Roman"/>
                <w:lang w:val="en-AU"/>
              </w:rPr>
              <w:t xml:space="preserve"> II 2 volume cell</w:t>
            </w:r>
          </w:p>
        </w:tc>
      </w:tr>
      <w:tr w:rsidR="00E55926" w:rsidRPr="006B00B8" w:rsidTr="00AA05EA">
        <w:tc>
          <w:tcPr>
            <w:tcW w:w="3539" w:type="dxa"/>
            <w:shd w:val="clear" w:color="auto" w:fill="auto"/>
          </w:tcPr>
          <w:p w:rsidR="00E55926" w:rsidRPr="006B00B8" w:rsidRDefault="00E55926" w:rsidP="00AA05EA">
            <w:pPr>
              <w:rPr>
                <w:rFonts w:ascii="Times New Roman" w:hAnsi="Times New Roman"/>
                <w:lang w:val="en-AU"/>
              </w:rPr>
            </w:pPr>
            <w:proofErr w:type="spellStart"/>
            <w:r w:rsidRPr="006B00B8">
              <w:rPr>
                <w:rFonts w:ascii="Times New Roman" w:hAnsi="Times New Roman"/>
                <w:lang w:val="en-AU"/>
              </w:rPr>
              <w:t>Fluence</w:t>
            </w:r>
            <w:proofErr w:type="spellEnd"/>
          </w:p>
        </w:tc>
        <w:tc>
          <w:tcPr>
            <w:tcW w:w="5477" w:type="dxa"/>
            <w:shd w:val="clear" w:color="auto" w:fill="auto"/>
          </w:tcPr>
          <w:p w:rsidR="00E55926" w:rsidRPr="006B00B8" w:rsidRDefault="00E55926" w:rsidP="00AA05EA">
            <w:pPr>
              <w:rPr>
                <w:rFonts w:ascii="Times New Roman" w:hAnsi="Times New Roman"/>
                <w:lang w:val="en-AU"/>
              </w:rPr>
            </w:pPr>
            <w:r>
              <w:rPr>
                <w:rFonts w:ascii="Times New Roman" w:hAnsi="Times New Roman"/>
                <w:lang w:val="en-AU"/>
              </w:rPr>
              <w:t>4</w:t>
            </w:r>
            <w:r w:rsidRPr="006B00B8">
              <w:rPr>
                <w:rFonts w:ascii="Times New Roman" w:hAnsi="Times New Roman"/>
                <w:lang w:val="en-AU"/>
              </w:rPr>
              <w:t xml:space="preserve"> J/cm</w:t>
            </w:r>
            <w:r w:rsidRPr="006B00B8">
              <w:rPr>
                <w:rFonts w:ascii="Times New Roman" w:hAnsi="Times New Roman"/>
                <w:vertAlign w:val="superscript"/>
                <w:lang w:val="en-AU"/>
              </w:rPr>
              <w:t>2</w:t>
            </w:r>
          </w:p>
        </w:tc>
      </w:tr>
      <w:tr w:rsidR="00E55926" w:rsidRPr="006B00B8"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Repetition rate</w:t>
            </w:r>
          </w:p>
        </w:tc>
        <w:tc>
          <w:tcPr>
            <w:tcW w:w="5477" w:type="dxa"/>
            <w:shd w:val="clear" w:color="auto" w:fill="auto"/>
          </w:tcPr>
          <w:p w:rsidR="00E55926" w:rsidRPr="006B00B8" w:rsidRDefault="00E55926" w:rsidP="00AA05EA">
            <w:pPr>
              <w:rPr>
                <w:rFonts w:ascii="Times New Roman" w:hAnsi="Times New Roman"/>
                <w:lang w:val="en-AU"/>
              </w:rPr>
            </w:pPr>
            <w:r>
              <w:rPr>
                <w:rFonts w:ascii="Times New Roman" w:hAnsi="Times New Roman"/>
                <w:lang w:val="en-AU"/>
              </w:rPr>
              <w:t>7</w:t>
            </w:r>
            <w:r w:rsidRPr="006B00B8">
              <w:rPr>
                <w:rFonts w:ascii="Times New Roman" w:hAnsi="Times New Roman"/>
                <w:lang w:val="en-AU"/>
              </w:rPr>
              <w:t xml:space="preserve"> Hz</w:t>
            </w:r>
          </w:p>
        </w:tc>
      </w:tr>
      <w:tr w:rsidR="00E55926" w:rsidRPr="006B00B8" w:rsidTr="00AA05EA">
        <w:tc>
          <w:tcPr>
            <w:tcW w:w="3539" w:type="dxa"/>
            <w:shd w:val="clear" w:color="auto" w:fill="auto"/>
          </w:tcPr>
          <w:p w:rsidR="00E55926" w:rsidRPr="006B00B8" w:rsidRDefault="00E55926" w:rsidP="00AA05EA">
            <w:pPr>
              <w:rPr>
                <w:rFonts w:ascii="Times New Roman" w:hAnsi="Times New Roman"/>
                <w:lang w:val="en-AU"/>
              </w:rPr>
            </w:pPr>
            <w:r w:rsidRPr="006B00B8">
              <w:rPr>
                <w:rFonts w:ascii="Times New Roman" w:hAnsi="Times New Roman"/>
                <w:lang w:val="en-AU"/>
              </w:rPr>
              <w:t>Delay between analyses</w:t>
            </w:r>
          </w:p>
        </w:tc>
        <w:tc>
          <w:tcPr>
            <w:tcW w:w="5477" w:type="dxa"/>
            <w:shd w:val="clear" w:color="auto" w:fill="auto"/>
          </w:tcPr>
          <w:p w:rsidR="00E55926" w:rsidRPr="006B00B8" w:rsidRDefault="00E55926" w:rsidP="00AA05EA">
            <w:pPr>
              <w:rPr>
                <w:rFonts w:ascii="Times New Roman" w:hAnsi="Times New Roman"/>
                <w:lang w:val="en-AU"/>
              </w:rPr>
            </w:pPr>
            <w:r>
              <w:rPr>
                <w:rFonts w:ascii="Times New Roman" w:hAnsi="Times New Roman"/>
                <w:lang w:val="en-AU"/>
              </w:rPr>
              <w:t>20</w:t>
            </w:r>
            <w:r w:rsidRPr="006B00B8">
              <w:rPr>
                <w:rFonts w:ascii="Times New Roman" w:hAnsi="Times New Roman"/>
                <w:lang w:val="en-AU"/>
              </w:rPr>
              <w:t>s</w:t>
            </w:r>
          </w:p>
        </w:tc>
      </w:tr>
      <w:tr w:rsidR="00E55926" w:rsidRPr="00BB0462" w:rsidTr="00AA05EA">
        <w:tc>
          <w:tcPr>
            <w:tcW w:w="3539" w:type="dxa"/>
            <w:shd w:val="clear" w:color="auto" w:fill="auto"/>
          </w:tcPr>
          <w:p w:rsidR="00E55926" w:rsidRPr="00BB0462" w:rsidRDefault="00E55926" w:rsidP="00AA05EA">
            <w:pPr>
              <w:rPr>
                <w:rFonts w:ascii="Times New Roman" w:hAnsi="Times New Roman"/>
                <w:lang w:val="en-AU"/>
              </w:rPr>
            </w:pPr>
            <w:r w:rsidRPr="00BB0462">
              <w:rPr>
                <w:rFonts w:ascii="Times New Roman" w:hAnsi="Times New Roman"/>
                <w:lang w:val="en-AU"/>
              </w:rPr>
              <w:t>Ablation duration</w:t>
            </w:r>
          </w:p>
        </w:tc>
        <w:tc>
          <w:tcPr>
            <w:tcW w:w="5477" w:type="dxa"/>
            <w:shd w:val="clear" w:color="auto" w:fill="auto"/>
          </w:tcPr>
          <w:p w:rsidR="00E55926" w:rsidRPr="00BB0462" w:rsidRDefault="00E55926" w:rsidP="00AA05EA">
            <w:pPr>
              <w:rPr>
                <w:rFonts w:ascii="Times New Roman" w:hAnsi="Times New Roman"/>
                <w:lang w:val="en-AU"/>
              </w:rPr>
            </w:pPr>
            <w:r w:rsidRPr="00BB0462">
              <w:rPr>
                <w:rFonts w:ascii="Times New Roman" w:hAnsi="Times New Roman"/>
                <w:lang w:val="en-AU"/>
              </w:rPr>
              <w:t>30s</w:t>
            </w:r>
          </w:p>
        </w:tc>
      </w:tr>
    </w:tbl>
    <w:p w:rsidR="00E55926" w:rsidRPr="00AD2AF8" w:rsidRDefault="00BB0462" w:rsidP="00E55926">
      <w:pPr>
        <w:autoSpaceDE w:val="0"/>
        <w:autoSpaceDN w:val="0"/>
        <w:adjustRightInd w:val="0"/>
        <w:spacing w:after="0"/>
        <w:rPr>
          <w:rFonts w:cs="Arial"/>
          <w:color w:val="231F20"/>
        </w:rPr>
      </w:pPr>
      <w:r w:rsidRPr="00BB0462">
        <w:rPr>
          <w:rFonts w:cs="Arial"/>
        </w:rPr>
        <w:t>PATON, C.</w:t>
      </w:r>
      <w:r w:rsidR="00E55926" w:rsidRPr="00BB0462">
        <w:rPr>
          <w:rFonts w:cs="Arial"/>
        </w:rPr>
        <w:t xml:space="preserve">, </w:t>
      </w:r>
      <w:r w:rsidRPr="00BB0462">
        <w:rPr>
          <w:rFonts w:cs="Arial"/>
        </w:rPr>
        <w:t>HELLSTROM, J., PAUL</w:t>
      </w:r>
      <w:r w:rsidR="00E55926" w:rsidRPr="00BB0462">
        <w:rPr>
          <w:rFonts w:cs="Arial"/>
        </w:rPr>
        <w:t>, B., W</w:t>
      </w:r>
      <w:r w:rsidRPr="00BB0462">
        <w:rPr>
          <w:rFonts w:cs="Arial"/>
        </w:rPr>
        <w:t>OODHEAD</w:t>
      </w:r>
      <w:r w:rsidR="00E55926" w:rsidRPr="00BB0462">
        <w:rPr>
          <w:rFonts w:cs="Arial"/>
        </w:rPr>
        <w:t xml:space="preserve">, J. </w:t>
      </w:r>
      <w:r w:rsidRPr="00BB0462">
        <w:rPr>
          <w:rFonts w:cs="Arial"/>
        </w:rPr>
        <w:t xml:space="preserve">&amp; </w:t>
      </w:r>
      <w:r w:rsidR="00E55926" w:rsidRPr="00BB0462">
        <w:rPr>
          <w:rFonts w:cs="Arial"/>
        </w:rPr>
        <w:t>H</w:t>
      </w:r>
      <w:r w:rsidRPr="00BB0462">
        <w:rPr>
          <w:rFonts w:cs="Arial"/>
        </w:rPr>
        <w:t>ERGT</w:t>
      </w:r>
      <w:r w:rsidR="00E55926" w:rsidRPr="00BB0462">
        <w:rPr>
          <w:rFonts w:cs="Arial"/>
        </w:rPr>
        <w:t xml:space="preserve">, J. </w:t>
      </w:r>
      <w:r w:rsidRPr="00BB0462">
        <w:rPr>
          <w:rFonts w:cs="Arial"/>
        </w:rPr>
        <w:t>(</w:t>
      </w:r>
      <w:r w:rsidR="00E55926" w:rsidRPr="00BB0462">
        <w:rPr>
          <w:rFonts w:cs="Arial"/>
        </w:rPr>
        <w:t>2011</w:t>
      </w:r>
      <w:r>
        <w:rPr>
          <w:rFonts w:cs="Arial"/>
        </w:rPr>
        <w:t>)</w:t>
      </w:r>
      <w:r w:rsidR="00E55926" w:rsidRPr="00AD2AF8">
        <w:rPr>
          <w:rFonts w:cs="Arial"/>
        </w:rPr>
        <w:t xml:space="preserve"> </w:t>
      </w:r>
      <w:r w:rsidR="00E55926" w:rsidRPr="00AD2AF8">
        <w:rPr>
          <w:rFonts w:cs="Arial"/>
          <w:color w:val="231F20"/>
        </w:rPr>
        <w:t>Iolite: Freeware for the visualisation and processing of mass spectrometric data. Journal of Analytical Atomic Spectrometry, 25, 2508–2518. https://doi.org/10.1039/c1ja10172b</w:t>
      </w:r>
    </w:p>
    <w:p w:rsidR="001D10FE" w:rsidRDefault="001D10FE">
      <w:bookmarkStart w:id="0" w:name="_GoBack"/>
      <w:bookmarkEnd w:id="0"/>
    </w:p>
    <w:sectPr w:rsidR="001D1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26"/>
    <w:rsid w:val="001D10FE"/>
    <w:rsid w:val="00BB0462"/>
    <w:rsid w:val="00E55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7AA24-F74E-4052-8E2F-E9F86FFD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926"/>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2022-05-30T05:03:00Z</dcterms:created>
  <dcterms:modified xsi:type="dcterms:W3CDTF">2022-06-11T04:47:00Z</dcterms:modified>
</cp:coreProperties>
</file>